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3C97" w14:textId="1F439432" w:rsidR="00F75343" w:rsidRPr="00EC5C4C" w:rsidRDefault="00D46A96" w:rsidP="00C924AF">
      <w:pPr>
        <w:spacing w:after="240"/>
        <w:ind w:right="440"/>
        <w:jc w:val="right"/>
        <w:rPr>
          <w:rFonts w:asciiTheme="majorHAnsi" w:hAnsiTheme="majorHAnsi" w:cstheme="majorHAnsi"/>
          <w:color w:val="002060"/>
        </w:rPr>
      </w:pPr>
      <w:r w:rsidRPr="00EC5C4C">
        <w:rPr>
          <w:rFonts w:asciiTheme="majorHAnsi" w:hAnsiTheme="majorHAnsi" w:cstheme="majorHAnsi"/>
          <w:color w:val="002060"/>
        </w:rPr>
        <w:t>1</w:t>
      </w:r>
      <w:r w:rsidR="004F55F4">
        <w:rPr>
          <w:rFonts w:asciiTheme="majorHAnsi" w:hAnsiTheme="majorHAnsi" w:cstheme="majorHAnsi"/>
          <w:color w:val="002060"/>
        </w:rPr>
        <w:t>4</w:t>
      </w:r>
      <w:r w:rsidRPr="00EC5C4C">
        <w:rPr>
          <w:rFonts w:asciiTheme="majorHAnsi" w:hAnsiTheme="majorHAnsi" w:cstheme="majorHAnsi"/>
          <w:color w:val="002060"/>
        </w:rPr>
        <w:t xml:space="preserve"> May</w:t>
      </w:r>
      <w:r w:rsidR="00C73560" w:rsidRPr="00EC5C4C">
        <w:rPr>
          <w:rFonts w:asciiTheme="majorHAnsi" w:hAnsiTheme="majorHAnsi" w:cstheme="majorHAnsi"/>
          <w:color w:val="002060"/>
        </w:rPr>
        <w:t xml:space="preserve"> 202</w:t>
      </w:r>
      <w:r w:rsidRPr="00EC5C4C">
        <w:rPr>
          <w:rFonts w:asciiTheme="majorHAnsi" w:hAnsiTheme="majorHAnsi" w:cstheme="majorHAnsi"/>
          <w:color w:val="002060"/>
        </w:rPr>
        <w:t>4</w:t>
      </w:r>
    </w:p>
    <w:p w14:paraId="524A22EF" w14:textId="77777777" w:rsidR="00E06A02" w:rsidRPr="00EC5C4C" w:rsidRDefault="00E06A02" w:rsidP="00E06A02">
      <w:pPr>
        <w:jc w:val="center"/>
        <w:rPr>
          <w:rFonts w:asciiTheme="majorHAnsi" w:hAnsiTheme="majorHAnsi" w:cstheme="majorHAnsi"/>
          <w:b/>
          <w:color w:val="002060"/>
        </w:rPr>
      </w:pPr>
    </w:p>
    <w:p w14:paraId="12CE72A9" w14:textId="77777777" w:rsidR="00E06A02" w:rsidRPr="00EC5C4C" w:rsidRDefault="00E06A02" w:rsidP="00E06A02">
      <w:pPr>
        <w:jc w:val="center"/>
        <w:rPr>
          <w:rFonts w:asciiTheme="majorHAnsi" w:hAnsiTheme="majorHAnsi" w:cstheme="majorHAnsi"/>
          <w:b/>
          <w:color w:val="002060"/>
        </w:rPr>
      </w:pPr>
    </w:p>
    <w:p w14:paraId="1FB71B00" w14:textId="77777777" w:rsidR="00371972" w:rsidRPr="00EC5C4C" w:rsidRDefault="00371972" w:rsidP="00371972">
      <w:pPr>
        <w:jc w:val="center"/>
        <w:rPr>
          <w:rFonts w:asciiTheme="majorHAnsi" w:hAnsiTheme="majorHAnsi" w:cstheme="majorHAnsi"/>
          <w:b/>
          <w:color w:val="002060"/>
          <w:sz w:val="28"/>
          <w:szCs w:val="28"/>
        </w:rPr>
      </w:pPr>
    </w:p>
    <w:p w14:paraId="195F4ED1" w14:textId="2CD2EA13" w:rsidR="00371972" w:rsidRPr="00EC5C4C" w:rsidRDefault="00726BCD" w:rsidP="004C0E89">
      <w:pPr>
        <w:jc w:val="center"/>
        <w:rPr>
          <w:rFonts w:asciiTheme="majorHAnsi" w:hAnsiTheme="majorHAnsi" w:cstheme="majorHAnsi"/>
          <w:b/>
          <w:color w:val="002060"/>
          <w:sz w:val="28"/>
          <w:szCs w:val="28"/>
        </w:rPr>
      </w:pPr>
      <w:r w:rsidRPr="00726BCD">
        <w:rPr>
          <w:rFonts w:asciiTheme="majorHAnsi" w:hAnsiTheme="majorHAnsi" w:cstheme="majorHAnsi"/>
          <w:b/>
          <w:color w:val="002060"/>
          <w:sz w:val="28"/>
          <w:szCs w:val="28"/>
        </w:rPr>
        <w:t>Africa Wealth Report 2024: a comprehensive survey of the continent's</w:t>
      </w:r>
      <w:r w:rsidRPr="00726BCD">
        <w:rPr>
          <w:rFonts w:asciiTheme="majorHAnsi" w:hAnsiTheme="majorHAnsi" w:cstheme="majorHAnsi"/>
          <w:bCs/>
          <w:color w:val="002060"/>
          <w:sz w:val="28"/>
          <w:szCs w:val="28"/>
        </w:rPr>
        <w:t xml:space="preserve"> </w:t>
      </w:r>
      <w:r w:rsidRPr="00726BCD">
        <w:rPr>
          <w:rFonts w:asciiTheme="majorHAnsi" w:hAnsiTheme="majorHAnsi" w:cstheme="majorHAnsi"/>
          <w:b/>
          <w:color w:val="002060"/>
          <w:sz w:val="28"/>
          <w:szCs w:val="28"/>
        </w:rPr>
        <w:t>wealthiest countries and fastest-growing wealth markets</w:t>
      </w:r>
      <w:r>
        <w:rPr>
          <w:rStyle w:val="Strong"/>
          <w:rFonts w:ascii="Georgia" w:hAnsi="Georgia"/>
          <w:color w:val="FFCA05"/>
          <w:sz w:val="30"/>
          <w:szCs w:val="30"/>
        </w:rPr>
        <w:t> </w:t>
      </w:r>
    </w:p>
    <w:p w14:paraId="0156B56C" w14:textId="0EBE7482" w:rsidR="00E06FB4" w:rsidRPr="00EC5C4C" w:rsidRDefault="00E06FB4" w:rsidP="00371972">
      <w:pPr>
        <w:rPr>
          <w:rFonts w:asciiTheme="majorHAnsi" w:hAnsiTheme="majorHAnsi" w:cstheme="majorHAnsi"/>
          <w:b/>
          <w:color w:val="002060"/>
          <w:lang w:val="en-GB"/>
        </w:rPr>
      </w:pPr>
    </w:p>
    <w:p w14:paraId="3152DC6B" w14:textId="77777777" w:rsidR="001666FD" w:rsidRPr="00EC5C4C" w:rsidRDefault="001666FD" w:rsidP="00094C87">
      <w:pPr>
        <w:rPr>
          <w:rFonts w:asciiTheme="majorHAnsi" w:hAnsiTheme="majorHAnsi" w:cstheme="majorHAnsi"/>
          <w:color w:val="002060"/>
        </w:rPr>
      </w:pPr>
    </w:p>
    <w:p w14:paraId="0E325519" w14:textId="77777777" w:rsidR="00371972" w:rsidRPr="00EC5C4C" w:rsidRDefault="00371972" w:rsidP="00094C87">
      <w:pPr>
        <w:rPr>
          <w:rFonts w:asciiTheme="majorHAnsi" w:hAnsiTheme="majorHAnsi" w:cstheme="majorHAnsi"/>
          <w:color w:val="002060"/>
        </w:rPr>
      </w:pPr>
    </w:p>
    <w:p w14:paraId="0ACED4F4" w14:textId="77777777" w:rsidR="00917E6E" w:rsidRPr="00917E6E" w:rsidRDefault="00917E6E" w:rsidP="00917E6E">
      <w:pPr>
        <w:jc w:val="both"/>
        <w:rPr>
          <w:rFonts w:asciiTheme="majorHAnsi" w:hAnsiTheme="majorHAnsi" w:cstheme="majorBidi"/>
          <w:color w:val="002060"/>
        </w:rPr>
      </w:pPr>
      <w:r w:rsidRPr="00917E6E">
        <w:rPr>
          <w:rFonts w:asciiTheme="majorHAnsi" w:hAnsiTheme="majorHAnsi" w:cstheme="majorBidi"/>
          <w:color w:val="002060"/>
        </w:rPr>
        <w:t xml:space="preserve">This recently issued report offers an in-depth analysis of the wealthiest countries and cities in Africa, complemented by expert insights on economic mobility, the investment migration sector, and wealth management across the continent. Here are some takeaways from the report. </w:t>
      </w:r>
    </w:p>
    <w:p w14:paraId="3BCC5D19" w14:textId="77777777" w:rsidR="00917E6E" w:rsidRDefault="00917E6E" w:rsidP="00917E6E">
      <w:pPr>
        <w:jc w:val="both"/>
        <w:rPr>
          <w:sz w:val="22"/>
          <w:szCs w:val="22"/>
          <w:lang w:val="en-GB"/>
        </w:rPr>
      </w:pPr>
    </w:p>
    <w:p w14:paraId="0A648DC9" w14:textId="77777777" w:rsidR="00E66A62" w:rsidRDefault="00E66A62" w:rsidP="00E66A62">
      <w:pPr>
        <w:jc w:val="both"/>
        <w:rPr>
          <w:sz w:val="22"/>
          <w:szCs w:val="22"/>
          <w:lang w:val="en-GB"/>
        </w:rPr>
      </w:pPr>
    </w:p>
    <w:p w14:paraId="4EA00D11" w14:textId="77777777" w:rsidR="00E66A62" w:rsidRDefault="00E66A62" w:rsidP="00E66A62">
      <w:pPr>
        <w:rPr>
          <w:rFonts w:asciiTheme="majorHAnsi" w:hAnsiTheme="majorHAnsi" w:cstheme="majorHAnsi"/>
          <w:b/>
          <w:color w:val="002060"/>
          <w:u w:val="single"/>
        </w:rPr>
      </w:pPr>
      <w:r w:rsidRPr="00E66A62">
        <w:rPr>
          <w:rFonts w:asciiTheme="majorHAnsi" w:hAnsiTheme="majorHAnsi" w:cstheme="majorHAnsi"/>
          <w:b/>
          <w:color w:val="002060"/>
          <w:u w:val="single"/>
        </w:rPr>
        <w:t>Prosperous countries and locations</w:t>
      </w:r>
    </w:p>
    <w:p w14:paraId="7E40F964" w14:textId="77777777" w:rsidR="00E66A62" w:rsidRPr="00E66A62" w:rsidRDefault="00E66A62" w:rsidP="00E66A62">
      <w:pPr>
        <w:rPr>
          <w:rFonts w:asciiTheme="majorHAnsi" w:hAnsiTheme="majorHAnsi" w:cstheme="majorHAnsi"/>
          <w:b/>
          <w:color w:val="002060"/>
          <w:u w:val="single"/>
        </w:rPr>
      </w:pPr>
    </w:p>
    <w:p w14:paraId="6D223617" w14:textId="77777777" w:rsidR="00E66A62" w:rsidRDefault="00E66A62" w:rsidP="00E66A62">
      <w:pPr>
        <w:jc w:val="both"/>
        <w:rPr>
          <w:rFonts w:asciiTheme="majorHAnsi" w:hAnsiTheme="majorHAnsi" w:cstheme="majorBidi"/>
          <w:color w:val="002060"/>
        </w:rPr>
      </w:pPr>
      <w:r w:rsidRPr="00E66A62">
        <w:rPr>
          <w:rFonts w:asciiTheme="majorHAnsi" w:hAnsiTheme="majorHAnsi" w:cstheme="majorBidi"/>
          <w:color w:val="002060"/>
        </w:rPr>
        <w:t>The most sought-after capital markets in Africa remains the following countries: South Africa, Egypt, Nigeria, Kenya and Morocco in the top 5 list. All these countries have a rising number of high-net-worth individuals and Johannesburg, Cape Town, Cairo, Nairobi and Lagos continue their ascent towards affluent wealth hubs.</w:t>
      </w:r>
    </w:p>
    <w:p w14:paraId="792ADB91" w14:textId="77777777" w:rsidR="00E66A62" w:rsidRPr="00E66A62" w:rsidRDefault="00E66A62" w:rsidP="00E66A62">
      <w:pPr>
        <w:jc w:val="both"/>
        <w:rPr>
          <w:rFonts w:asciiTheme="majorHAnsi" w:hAnsiTheme="majorHAnsi" w:cstheme="majorBidi"/>
          <w:color w:val="002060"/>
        </w:rPr>
      </w:pPr>
    </w:p>
    <w:p w14:paraId="5482064B" w14:textId="77777777" w:rsidR="00E66A62" w:rsidRDefault="00E66A62" w:rsidP="00E66A62">
      <w:pPr>
        <w:jc w:val="both"/>
        <w:rPr>
          <w:rFonts w:asciiTheme="majorHAnsi" w:hAnsiTheme="majorHAnsi" w:cstheme="majorBidi"/>
          <w:color w:val="002060"/>
        </w:rPr>
      </w:pPr>
      <w:r w:rsidRPr="00E66A62">
        <w:rPr>
          <w:rFonts w:asciiTheme="majorHAnsi" w:hAnsiTheme="majorHAnsi" w:cstheme="majorBidi"/>
          <w:color w:val="002060"/>
        </w:rPr>
        <w:t>In a 10-year study of rising millionaires from 2013 to 2023, there is another interesting trend of new wealth, or new millionaires being drawn to countries like Mauritius, Rwanda, Morocco and Namibia. The forecast is even more eye-catching whereby in the coming ten years, these countries are prone to higher growth rates due to their stable governance, friendly tax regimes and dynamism for growing wealth. The real estate market for HNWIs is also under scrutiny for the future with cities like Cape Town, Grand Bay (Mauritius), Marrakech, and Sandton (Johannesburg) as being attractive for real estate portfolios.</w:t>
      </w:r>
    </w:p>
    <w:p w14:paraId="4969B24F" w14:textId="77777777" w:rsidR="00E66A62" w:rsidRPr="00E66A62" w:rsidRDefault="00E66A62" w:rsidP="00E66A62">
      <w:pPr>
        <w:jc w:val="both"/>
        <w:rPr>
          <w:rFonts w:asciiTheme="majorHAnsi" w:hAnsiTheme="majorHAnsi" w:cstheme="majorBidi"/>
          <w:color w:val="002060"/>
        </w:rPr>
      </w:pPr>
    </w:p>
    <w:p w14:paraId="1B38417E" w14:textId="77777777" w:rsidR="00E66A62" w:rsidRDefault="00E66A62" w:rsidP="00E66A62">
      <w:pPr>
        <w:jc w:val="both"/>
        <w:rPr>
          <w:rFonts w:asciiTheme="majorHAnsi" w:hAnsiTheme="majorHAnsi" w:cstheme="majorBidi"/>
          <w:color w:val="002060"/>
        </w:rPr>
      </w:pPr>
      <w:r w:rsidRPr="00E66A62">
        <w:rPr>
          <w:rFonts w:asciiTheme="majorHAnsi" w:hAnsiTheme="majorHAnsi" w:cstheme="majorBidi"/>
          <w:color w:val="002060"/>
        </w:rPr>
        <w:t>Developing around the alluring credo of live work and place as Mauritius did for some years now, Henley &amp; Partners built a strong reputation regarding investment migration including the concept of residence and citizenship through investment. Whilst Mauritius has a healthy database of high-end real estate projects, the report highlights the second-hand considerations of education, infrastructure, technology which must be deployed simultaneously to unlock human capital and produce commendable efforts for sustainable growth and attractiveness.</w:t>
      </w:r>
    </w:p>
    <w:p w14:paraId="1A5212C5" w14:textId="77777777" w:rsidR="00E66A62" w:rsidRPr="00E66A62" w:rsidRDefault="00E66A62" w:rsidP="00E66A62">
      <w:pPr>
        <w:jc w:val="both"/>
        <w:rPr>
          <w:rFonts w:asciiTheme="majorHAnsi" w:hAnsiTheme="majorHAnsi" w:cstheme="majorBidi"/>
          <w:color w:val="002060"/>
        </w:rPr>
      </w:pPr>
    </w:p>
    <w:p w14:paraId="583534DF" w14:textId="77777777" w:rsidR="00E66A62" w:rsidRDefault="00E66A62" w:rsidP="00E66A62">
      <w:pPr>
        <w:jc w:val="both"/>
        <w:rPr>
          <w:rFonts w:asciiTheme="majorHAnsi" w:hAnsiTheme="majorHAnsi" w:cstheme="majorBidi"/>
          <w:color w:val="002060"/>
        </w:rPr>
      </w:pPr>
      <w:r w:rsidRPr="00E66A62">
        <w:rPr>
          <w:rFonts w:asciiTheme="majorHAnsi" w:hAnsiTheme="majorHAnsi" w:cstheme="majorBidi"/>
          <w:color w:val="002060"/>
        </w:rPr>
        <w:t xml:space="preserve">Despite having a complex wealth story, Africa remains the business place to be, with incredible opportunities in natural resources such as land and minerals; demography and businesses based on mass consumption. </w:t>
      </w:r>
    </w:p>
    <w:p w14:paraId="13A53EEF" w14:textId="77777777" w:rsidR="00AB35A0" w:rsidRDefault="00AB35A0" w:rsidP="00E66A62">
      <w:pPr>
        <w:jc w:val="both"/>
        <w:rPr>
          <w:rFonts w:asciiTheme="majorHAnsi" w:hAnsiTheme="majorHAnsi" w:cstheme="majorBidi"/>
          <w:color w:val="002060"/>
        </w:rPr>
      </w:pPr>
    </w:p>
    <w:p w14:paraId="62A84A34" w14:textId="77777777" w:rsidR="00AB35A0" w:rsidRPr="00B3672F" w:rsidRDefault="00AB35A0" w:rsidP="00AB35A0">
      <w:pPr>
        <w:jc w:val="both"/>
        <w:rPr>
          <w:sz w:val="22"/>
          <w:szCs w:val="22"/>
          <w:lang w:val="en-GB"/>
        </w:rPr>
      </w:pPr>
    </w:p>
    <w:p w14:paraId="77571A2A" w14:textId="77777777" w:rsidR="00AB35A0" w:rsidRDefault="00AB35A0" w:rsidP="00AB35A0">
      <w:pPr>
        <w:rPr>
          <w:rFonts w:asciiTheme="majorHAnsi" w:hAnsiTheme="majorHAnsi" w:cstheme="majorHAnsi"/>
          <w:b/>
          <w:color w:val="002060"/>
          <w:u w:val="single"/>
        </w:rPr>
      </w:pPr>
    </w:p>
    <w:p w14:paraId="339663AF" w14:textId="77777777" w:rsidR="00AB35A0" w:rsidRDefault="00AB35A0" w:rsidP="00AB35A0">
      <w:pPr>
        <w:rPr>
          <w:rFonts w:asciiTheme="majorHAnsi" w:hAnsiTheme="majorHAnsi" w:cstheme="majorHAnsi"/>
          <w:b/>
          <w:color w:val="002060"/>
          <w:u w:val="single"/>
        </w:rPr>
      </w:pPr>
    </w:p>
    <w:p w14:paraId="6D339184" w14:textId="6393AE66" w:rsidR="00AB35A0" w:rsidRDefault="00AB35A0" w:rsidP="00AB35A0">
      <w:pPr>
        <w:rPr>
          <w:rFonts w:asciiTheme="majorHAnsi" w:hAnsiTheme="majorHAnsi" w:cstheme="majorHAnsi"/>
          <w:b/>
          <w:color w:val="002060"/>
          <w:u w:val="single"/>
        </w:rPr>
      </w:pPr>
      <w:r w:rsidRPr="00AB35A0">
        <w:rPr>
          <w:rFonts w:asciiTheme="majorHAnsi" w:hAnsiTheme="majorHAnsi" w:cstheme="majorHAnsi"/>
          <w:b/>
          <w:color w:val="002060"/>
          <w:u w:val="single"/>
        </w:rPr>
        <w:t>As per the report, key investment opportunities are as follows:</w:t>
      </w:r>
    </w:p>
    <w:p w14:paraId="75B08133" w14:textId="77777777" w:rsidR="00AB35A0" w:rsidRPr="00AB35A0" w:rsidRDefault="00AB35A0" w:rsidP="00AB35A0">
      <w:pPr>
        <w:rPr>
          <w:rFonts w:asciiTheme="majorHAnsi" w:hAnsiTheme="majorHAnsi" w:cstheme="majorHAnsi"/>
          <w:b/>
          <w:color w:val="002060"/>
          <w:u w:val="single"/>
        </w:rPr>
      </w:pPr>
    </w:p>
    <w:p w14:paraId="6E6272FB" w14:textId="77777777" w:rsidR="00AB35A0" w:rsidRDefault="00AB35A0" w:rsidP="00AB35A0">
      <w:pPr>
        <w:jc w:val="both"/>
        <w:rPr>
          <w:rFonts w:asciiTheme="majorHAnsi" w:hAnsiTheme="majorHAnsi" w:cstheme="majorBidi"/>
          <w:color w:val="002060"/>
        </w:rPr>
      </w:pPr>
      <w:r w:rsidRPr="00AB35A0">
        <w:rPr>
          <w:rFonts w:asciiTheme="majorHAnsi" w:hAnsiTheme="majorHAnsi" w:cstheme="majorHAnsi"/>
          <w:b/>
          <w:i/>
          <w:color w:val="002060"/>
        </w:rPr>
        <w:t>Abundant human resources:</w:t>
      </w:r>
      <w:r w:rsidRPr="00AB35A0">
        <w:rPr>
          <w:rFonts w:asciiTheme="majorHAnsi" w:hAnsiTheme="majorHAnsi" w:cstheme="majorBidi"/>
          <w:color w:val="002060"/>
        </w:rPr>
        <w:t xml:space="preserve"> Africa’s population, currently at 1.3 billion, is projected to almost </w:t>
      </w:r>
      <w:r w:rsidRPr="00F4093E">
        <w:rPr>
          <w:rFonts w:asciiTheme="majorHAnsi" w:hAnsiTheme="majorHAnsi" w:cstheme="majorBidi"/>
          <w:color w:val="002060"/>
        </w:rPr>
        <w:t>double to </w:t>
      </w:r>
      <w:hyperlink r:id="rId10" w:history="1">
        <w:r w:rsidRPr="00F4093E">
          <w:rPr>
            <w:rFonts w:asciiTheme="majorHAnsi" w:hAnsiTheme="majorHAnsi" w:cstheme="majorBidi"/>
            <w:color w:val="002060"/>
          </w:rPr>
          <w:t>2.5 billion by 2050</w:t>
        </w:r>
      </w:hyperlink>
      <w:r w:rsidRPr="00AB35A0">
        <w:rPr>
          <w:rFonts w:asciiTheme="majorHAnsi" w:hAnsiTheme="majorHAnsi" w:cstheme="majorBidi"/>
          <w:color w:val="002060"/>
        </w:rPr>
        <w:t>, by which time Nigeria for instance, is projected to have 400 million people — overtaking the US as the world’s third-largest country by population. Africa represents a large consumer market.</w:t>
      </w:r>
    </w:p>
    <w:p w14:paraId="4694042D" w14:textId="77777777" w:rsidR="00AB35A0" w:rsidRPr="00AB35A0" w:rsidRDefault="00AB35A0" w:rsidP="00AB35A0">
      <w:pPr>
        <w:jc w:val="both"/>
        <w:rPr>
          <w:rFonts w:asciiTheme="majorHAnsi" w:hAnsiTheme="majorHAnsi" w:cstheme="majorBidi"/>
          <w:color w:val="002060"/>
        </w:rPr>
      </w:pPr>
    </w:p>
    <w:p w14:paraId="51E1F51A" w14:textId="77777777" w:rsidR="00AB35A0" w:rsidRDefault="00AB35A0" w:rsidP="00AB35A0">
      <w:pPr>
        <w:jc w:val="both"/>
        <w:rPr>
          <w:rFonts w:asciiTheme="majorHAnsi" w:hAnsiTheme="majorHAnsi" w:cstheme="majorBidi"/>
          <w:color w:val="002060"/>
        </w:rPr>
      </w:pPr>
      <w:r w:rsidRPr="00AB35A0">
        <w:rPr>
          <w:rFonts w:asciiTheme="majorHAnsi" w:hAnsiTheme="majorHAnsi" w:cstheme="majorHAnsi"/>
          <w:b/>
          <w:i/>
          <w:color w:val="002060"/>
        </w:rPr>
        <w:t>Agriculture:</w:t>
      </w:r>
      <w:r w:rsidRPr="00AB35A0">
        <w:rPr>
          <w:rFonts w:asciiTheme="majorHAnsi" w:hAnsiTheme="majorHAnsi" w:cstheme="majorBidi"/>
          <w:color w:val="002060"/>
        </w:rPr>
        <w:t> About 23% of sub-Saharan Africa’s GDP comes from agriculture, yet about two-thirds its arable land remains undeveloped.</w:t>
      </w:r>
    </w:p>
    <w:p w14:paraId="156B043D" w14:textId="77777777" w:rsidR="00AB35A0" w:rsidRPr="00AB35A0" w:rsidRDefault="00AB35A0" w:rsidP="00AB35A0">
      <w:pPr>
        <w:jc w:val="both"/>
        <w:rPr>
          <w:rFonts w:asciiTheme="majorHAnsi" w:hAnsiTheme="majorHAnsi" w:cstheme="majorBidi"/>
          <w:color w:val="002060"/>
        </w:rPr>
      </w:pPr>
    </w:p>
    <w:p w14:paraId="6484D244" w14:textId="77777777" w:rsidR="00AB35A0" w:rsidRDefault="00AB35A0" w:rsidP="00AB35A0">
      <w:pPr>
        <w:jc w:val="both"/>
        <w:rPr>
          <w:rFonts w:asciiTheme="majorHAnsi" w:hAnsiTheme="majorHAnsi" w:cstheme="majorBidi"/>
          <w:color w:val="002060"/>
        </w:rPr>
      </w:pPr>
      <w:r w:rsidRPr="00AB35A0">
        <w:rPr>
          <w:rFonts w:asciiTheme="majorHAnsi" w:hAnsiTheme="majorHAnsi" w:cstheme="majorHAnsi"/>
          <w:b/>
          <w:i/>
          <w:color w:val="002060"/>
        </w:rPr>
        <w:t>Solid minerals:</w:t>
      </w:r>
      <w:r w:rsidRPr="00AB35A0">
        <w:rPr>
          <w:rFonts w:asciiTheme="majorHAnsi" w:hAnsiTheme="majorHAnsi" w:cstheme="majorBidi"/>
          <w:color w:val="002060"/>
        </w:rPr>
        <w:t> In 2019, minerals and fossil fuels accounted for </w:t>
      </w:r>
      <w:hyperlink r:id="rId11" w:history="1">
        <w:r w:rsidRPr="00AB35A0">
          <w:rPr>
            <w:rFonts w:asciiTheme="majorHAnsi" w:hAnsiTheme="majorHAnsi" w:cstheme="majorBidi"/>
            <w:color w:val="002060"/>
          </w:rPr>
          <w:t>over a third of exports</w:t>
        </w:r>
      </w:hyperlink>
      <w:r w:rsidRPr="00AB35A0">
        <w:rPr>
          <w:rFonts w:asciiTheme="majorHAnsi" w:hAnsiTheme="majorHAnsi" w:cstheme="majorBidi"/>
          <w:color w:val="002060"/>
        </w:rPr>
        <w:t> from at least 60% of African countries. Nigeria plans to offer investors at least a 75% stake in a proposed solid minerals corporation.</w:t>
      </w:r>
    </w:p>
    <w:p w14:paraId="3913FF6C" w14:textId="77777777" w:rsidR="00AB35A0" w:rsidRPr="00AB35A0" w:rsidRDefault="00AB35A0" w:rsidP="00AB35A0">
      <w:pPr>
        <w:jc w:val="both"/>
        <w:rPr>
          <w:rFonts w:asciiTheme="majorHAnsi" w:hAnsiTheme="majorHAnsi" w:cstheme="majorBidi"/>
          <w:color w:val="002060"/>
        </w:rPr>
      </w:pPr>
    </w:p>
    <w:p w14:paraId="56836327" w14:textId="77777777" w:rsidR="00AB35A0" w:rsidRPr="00AB35A0" w:rsidRDefault="00AB35A0" w:rsidP="00AB35A0">
      <w:pPr>
        <w:jc w:val="both"/>
        <w:rPr>
          <w:rFonts w:asciiTheme="majorHAnsi" w:hAnsiTheme="majorHAnsi" w:cstheme="majorBidi"/>
          <w:color w:val="002060"/>
        </w:rPr>
      </w:pPr>
      <w:r w:rsidRPr="00AB35A0">
        <w:rPr>
          <w:rFonts w:asciiTheme="majorHAnsi" w:hAnsiTheme="majorHAnsi" w:cstheme="majorHAnsi"/>
          <w:b/>
          <w:i/>
          <w:color w:val="002060"/>
        </w:rPr>
        <w:t>Stock market:</w:t>
      </w:r>
      <w:r w:rsidRPr="00AB35A0">
        <w:rPr>
          <w:rFonts w:asciiTheme="majorHAnsi" w:hAnsiTheme="majorHAnsi" w:cstheme="majorBidi"/>
          <w:color w:val="002060"/>
        </w:rPr>
        <w:t> The top-performing African stocks in recent years are in telecommunications, where shares of the top performer jumped 76% between July 2020 and 2021.</w:t>
      </w:r>
    </w:p>
    <w:p w14:paraId="1797F681" w14:textId="77777777" w:rsidR="00AB35A0" w:rsidRDefault="00AB35A0" w:rsidP="00AB35A0">
      <w:pPr>
        <w:jc w:val="both"/>
        <w:rPr>
          <w:rFonts w:asciiTheme="majorHAnsi" w:hAnsiTheme="majorHAnsi" w:cstheme="majorBidi"/>
          <w:color w:val="002060"/>
        </w:rPr>
      </w:pPr>
    </w:p>
    <w:p w14:paraId="097FB0F4" w14:textId="7AEAAA66" w:rsidR="00AB35A0" w:rsidRPr="00AB35A0" w:rsidRDefault="00AB35A0" w:rsidP="00AB35A0">
      <w:pPr>
        <w:jc w:val="right"/>
        <w:rPr>
          <w:rFonts w:asciiTheme="majorHAnsi" w:hAnsiTheme="majorHAnsi" w:cstheme="majorBidi"/>
          <w:i/>
          <w:iCs/>
          <w:color w:val="002060"/>
          <w:sz w:val="20"/>
          <w:szCs w:val="20"/>
        </w:rPr>
      </w:pPr>
      <w:r w:rsidRPr="00AB35A0">
        <w:rPr>
          <w:rFonts w:asciiTheme="majorHAnsi" w:hAnsiTheme="majorHAnsi" w:cstheme="majorBidi"/>
          <w:i/>
          <w:iCs/>
          <w:color w:val="002060"/>
          <w:sz w:val="20"/>
          <w:szCs w:val="20"/>
        </w:rPr>
        <w:t>Source: Henley &amp; Partners Africa Wealth Report</w:t>
      </w:r>
    </w:p>
    <w:p w14:paraId="519169A5" w14:textId="77777777" w:rsidR="00E23B94" w:rsidRPr="00E23B94" w:rsidRDefault="00E23B94" w:rsidP="00E23B94">
      <w:pPr>
        <w:rPr>
          <w:rFonts w:asciiTheme="majorHAnsi" w:hAnsiTheme="majorHAnsi" w:cstheme="majorHAnsi"/>
          <w:b/>
          <w:color w:val="002060"/>
          <w:u w:val="single"/>
        </w:rPr>
      </w:pPr>
    </w:p>
    <w:p w14:paraId="528ECB5D" w14:textId="77777777" w:rsidR="00E23B94" w:rsidRDefault="00E23B94" w:rsidP="00E23B94">
      <w:pPr>
        <w:rPr>
          <w:rFonts w:asciiTheme="majorHAnsi" w:hAnsiTheme="majorHAnsi" w:cstheme="majorHAnsi"/>
          <w:b/>
          <w:color w:val="002060"/>
          <w:u w:val="single"/>
        </w:rPr>
      </w:pPr>
      <w:r w:rsidRPr="00E23B94">
        <w:rPr>
          <w:rFonts w:asciiTheme="majorHAnsi" w:hAnsiTheme="majorHAnsi" w:cstheme="majorHAnsi"/>
          <w:b/>
          <w:color w:val="002060"/>
          <w:u w:val="single"/>
        </w:rPr>
        <w:t>Relocation &amp; Tax in Africa</w:t>
      </w:r>
    </w:p>
    <w:p w14:paraId="229D8A20" w14:textId="77777777" w:rsidR="00E23B94" w:rsidRPr="00E23B94" w:rsidRDefault="00E23B94" w:rsidP="00E23B94">
      <w:pPr>
        <w:rPr>
          <w:rFonts w:asciiTheme="majorHAnsi" w:hAnsiTheme="majorHAnsi" w:cstheme="majorHAnsi"/>
          <w:b/>
          <w:color w:val="002060"/>
          <w:u w:val="single"/>
        </w:rPr>
      </w:pPr>
    </w:p>
    <w:p w14:paraId="4B1C8241" w14:textId="77777777" w:rsidR="00E23B94" w:rsidRDefault="00E23B94" w:rsidP="00E23B94">
      <w:pPr>
        <w:jc w:val="both"/>
        <w:rPr>
          <w:rFonts w:asciiTheme="majorHAnsi" w:hAnsiTheme="majorHAnsi" w:cstheme="majorBidi"/>
          <w:color w:val="002060"/>
        </w:rPr>
      </w:pPr>
      <w:r w:rsidRPr="00E23B94">
        <w:rPr>
          <w:rFonts w:asciiTheme="majorHAnsi" w:hAnsiTheme="majorHAnsi" w:cstheme="majorBidi"/>
          <w:color w:val="002060"/>
        </w:rPr>
        <w:t>Another interesting aspect of this report shed light on the taxation aspects of relocating in Africa. With countries keen to welcome investors with their investor-friendly tax regimes, it translates into a plethora of tax jurisdictions, 54 in all, which have to compete with each other or consider common grounds as defined by their regimes and bilateral agreements. The findings of the report go beyond the initial phases of investors from African countries which have fulfilled the requirements of their home tax nets and may subsequently explore other jurisdictions for wealth accumulation, residence migration, lifestyle and educational objectives of their family members.</w:t>
      </w:r>
    </w:p>
    <w:p w14:paraId="6D2DECCE" w14:textId="77777777" w:rsidR="00E23B94" w:rsidRPr="00E23B94" w:rsidRDefault="00E23B94" w:rsidP="00E23B94">
      <w:pPr>
        <w:jc w:val="both"/>
        <w:rPr>
          <w:rFonts w:asciiTheme="majorHAnsi" w:hAnsiTheme="majorHAnsi" w:cstheme="majorBidi"/>
          <w:color w:val="002060"/>
        </w:rPr>
      </w:pPr>
    </w:p>
    <w:p w14:paraId="1FBDDECB" w14:textId="77777777" w:rsidR="00E23B94" w:rsidRDefault="00E23B94" w:rsidP="00E23B94">
      <w:pPr>
        <w:jc w:val="both"/>
        <w:rPr>
          <w:rFonts w:asciiTheme="majorHAnsi" w:hAnsiTheme="majorHAnsi" w:cstheme="majorBidi"/>
          <w:color w:val="002060"/>
        </w:rPr>
      </w:pPr>
      <w:r w:rsidRPr="00E23B94">
        <w:rPr>
          <w:rFonts w:asciiTheme="majorHAnsi" w:hAnsiTheme="majorHAnsi" w:cstheme="majorBidi"/>
          <w:color w:val="002060"/>
        </w:rPr>
        <w:t>There is growing interest in countries like Singapore, UAE, Greece and Italy for their tax friendly regimes and flexibility for wealth migration. Other Caribbean countries also are considered as attractive for their citizenship by investment programs for wealthy Africans and mirroring appropriate international funding from these countries to projects in Africa. Residency by investment has also a strong hold in Mauritius, with foreigners investing in real estate projects and designated investor programs.</w:t>
      </w:r>
    </w:p>
    <w:p w14:paraId="31823F08" w14:textId="77777777" w:rsidR="00E23B94" w:rsidRPr="00E23B94" w:rsidRDefault="00E23B94" w:rsidP="00E23B94">
      <w:pPr>
        <w:jc w:val="both"/>
        <w:rPr>
          <w:rFonts w:asciiTheme="majorHAnsi" w:hAnsiTheme="majorHAnsi" w:cstheme="majorBidi"/>
          <w:color w:val="002060"/>
        </w:rPr>
      </w:pPr>
    </w:p>
    <w:p w14:paraId="5218C9CB" w14:textId="77777777" w:rsidR="00E23B94" w:rsidRPr="00E23B94" w:rsidRDefault="00E23B94" w:rsidP="00E23B94">
      <w:pPr>
        <w:jc w:val="both"/>
        <w:rPr>
          <w:rFonts w:asciiTheme="majorHAnsi" w:hAnsiTheme="majorHAnsi" w:cstheme="majorBidi"/>
          <w:color w:val="002060"/>
        </w:rPr>
      </w:pPr>
      <w:r w:rsidRPr="00E23B94">
        <w:rPr>
          <w:rFonts w:asciiTheme="majorHAnsi" w:hAnsiTheme="majorHAnsi" w:cstheme="majorBidi"/>
          <w:color w:val="002060"/>
        </w:rPr>
        <w:t>There is a myriad of opportunities linked with investors managing wealth across borders in multiple locations. Investors are on the same page only when local expertise and international solutions-oriented insights are aligned. This includes the knowledge of multi-jurisdictional tax systems, legal ecosystems, cultural facets and governments in place. These potential implications are also the challenges that lie ahead of proactive jurisdictions.</w:t>
      </w:r>
    </w:p>
    <w:p w14:paraId="6782F820" w14:textId="548D7369" w:rsidR="003413A3" w:rsidRPr="00E23B94" w:rsidRDefault="003413A3" w:rsidP="003413A3">
      <w:pPr>
        <w:jc w:val="both"/>
        <w:rPr>
          <w:rFonts w:asciiTheme="majorHAnsi" w:hAnsiTheme="majorHAnsi" w:cstheme="majorBidi"/>
          <w:color w:val="002060"/>
        </w:rPr>
      </w:pPr>
    </w:p>
    <w:p w14:paraId="20C9C045" w14:textId="77777777" w:rsidR="00110644" w:rsidRPr="00F4093E" w:rsidRDefault="00110644" w:rsidP="00F4093E">
      <w:pPr>
        <w:rPr>
          <w:rFonts w:asciiTheme="majorHAnsi" w:hAnsiTheme="majorHAnsi" w:cstheme="majorHAnsi"/>
          <w:b/>
          <w:color w:val="002060"/>
          <w:u w:val="single"/>
        </w:rPr>
      </w:pPr>
    </w:p>
    <w:p w14:paraId="21A1FB86" w14:textId="77777777" w:rsidR="004B74F7" w:rsidRDefault="004B74F7" w:rsidP="00F4093E">
      <w:pPr>
        <w:rPr>
          <w:rFonts w:asciiTheme="majorHAnsi" w:hAnsiTheme="majorHAnsi" w:cstheme="majorHAnsi"/>
          <w:b/>
          <w:color w:val="002060"/>
          <w:u w:val="single"/>
        </w:rPr>
      </w:pPr>
      <w:r w:rsidRPr="00F4093E">
        <w:rPr>
          <w:rFonts w:asciiTheme="majorHAnsi" w:hAnsiTheme="majorHAnsi" w:cstheme="majorHAnsi"/>
          <w:b/>
          <w:color w:val="002060"/>
          <w:u w:val="single"/>
        </w:rPr>
        <w:t>Facts &amp; Figures for the African countries</w:t>
      </w:r>
    </w:p>
    <w:p w14:paraId="7B572C74" w14:textId="77777777" w:rsidR="00F4093E" w:rsidRPr="00F4093E" w:rsidRDefault="00F4093E" w:rsidP="00F4093E">
      <w:pPr>
        <w:rPr>
          <w:rFonts w:asciiTheme="majorHAnsi" w:hAnsiTheme="majorHAnsi" w:cstheme="majorHAnsi"/>
          <w:b/>
          <w:color w:val="002060"/>
          <w:u w:val="single"/>
        </w:rPr>
      </w:pPr>
    </w:p>
    <w:p w14:paraId="5E3AFE59" w14:textId="77777777" w:rsidR="004B74F7" w:rsidRPr="00F4093E" w:rsidRDefault="004B74F7" w:rsidP="00F4093E">
      <w:pPr>
        <w:pStyle w:val="ListParagraph"/>
        <w:numPr>
          <w:ilvl w:val="0"/>
          <w:numId w:val="33"/>
        </w:numPr>
        <w:jc w:val="both"/>
        <w:rPr>
          <w:rFonts w:asciiTheme="majorHAnsi" w:hAnsiTheme="majorHAnsi" w:cstheme="majorBidi"/>
          <w:color w:val="002060"/>
          <w:sz w:val="24"/>
          <w:szCs w:val="24"/>
        </w:rPr>
      </w:pPr>
      <w:r w:rsidRPr="00F4093E">
        <w:rPr>
          <w:rFonts w:asciiTheme="majorHAnsi" w:hAnsiTheme="majorHAnsi" w:cstheme="majorBidi"/>
          <w:color w:val="002060"/>
          <w:sz w:val="24"/>
          <w:szCs w:val="24"/>
        </w:rPr>
        <w:t>Ethiopia is now a member of the BRICS grouping.</w:t>
      </w:r>
    </w:p>
    <w:p w14:paraId="183C7ECA" w14:textId="77777777" w:rsidR="004B74F7" w:rsidRPr="00F4093E" w:rsidRDefault="004B74F7" w:rsidP="00F4093E">
      <w:pPr>
        <w:pStyle w:val="ListParagraph"/>
        <w:numPr>
          <w:ilvl w:val="0"/>
          <w:numId w:val="33"/>
        </w:numPr>
        <w:jc w:val="both"/>
        <w:rPr>
          <w:rFonts w:asciiTheme="majorHAnsi" w:hAnsiTheme="majorHAnsi" w:cstheme="majorBidi"/>
          <w:color w:val="002060"/>
          <w:sz w:val="24"/>
          <w:szCs w:val="24"/>
        </w:rPr>
      </w:pPr>
      <w:r w:rsidRPr="00F4093E">
        <w:rPr>
          <w:rFonts w:asciiTheme="majorHAnsi" w:hAnsiTheme="majorHAnsi" w:cstheme="majorBidi"/>
          <w:color w:val="002060"/>
          <w:sz w:val="24"/>
          <w:szCs w:val="24"/>
        </w:rPr>
        <w:t>African Union is a permanent member of the G20.</w:t>
      </w:r>
    </w:p>
    <w:p w14:paraId="63D8D8C8" w14:textId="77777777" w:rsidR="004B74F7" w:rsidRPr="00F4093E" w:rsidRDefault="004B74F7" w:rsidP="00F4093E">
      <w:pPr>
        <w:pStyle w:val="ListParagraph"/>
        <w:numPr>
          <w:ilvl w:val="0"/>
          <w:numId w:val="33"/>
        </w:numPr>
        <w:jc w:val="both"/>
        <w:rPr>
          <w:rFonts w:asciiTheme="majorHAnsi" w:hAnsiTheme="majorHAnsi" w:cstheme="majorBidi"/>
          <w:color w:val="002060"/>
          <w:sz w:val="24"/>
          <w:szCs w:val="24"/>
        </w:rPr>
      </w:pPr>
      <w:r w:rsidRPr="00F4093E">
        <w:rPr>
          <w:rFonts w:asciiTheme="majorHAnsi" w:hAnsiTheme="majorHAnsi" w:cstheme="majorBidi"/>
          <w:color w:val="002060"/>
          <w:sz w:val="24"/>
          <w:szCs w:val="24"/>
        </w:rPr>
        <w:t>Growth projection by IMF for Africa as a whole is at 4%.</w:t>
      </w:r>
    </w:p>
    <w:p w14:paraId="110162DA" w14:textId="77777777" w:rsidR="004B74F7" w:rsidRPr="00F4093E" w:rsidRDefault="004B74F7" w:rsidP="00F4093E">
      <w:pPr>
        <w:pStyle w:val="ListParagraph"/>
        <w:numPr>
          <w:ilvl w:val="0"/>
          <w:numId w:val="33"/>
        </w:numPr>
        <w:jc w:val="both"/>
        <w:rPr>
          <w:rFonts w:asciiTheme="majorHAnsi" w:hAnsiTheme="majorHAnsi" w:cstheme="majorBidi"/>
          <w:color w:val="002060"/>
          <w:sz w:val="24"/>
          <w:szCs w:val="24"/>
        </w:rPr>
      </w:pPr>
      <w:r w:rsidRPr="00F4093E">
        <w:rPr>
          <w:rFonts w:asciiTheme="majorHAnsi" w:hAnsiTheme="majorHAnsi" w:cstheme="majorBidi"/>
          <w:color w:val="002060"/>
          <w:sz w:val="24"/>
          <w:szCs w:val="24"/>
        </w:rPr>
        <w:t>Sub-Saharan Africa is the second fastest growing region in the world.</w:t>
      </w:r>
    </w:p>
    <w:p w14:paraId="7D39F1C6" w14:textId="77777777" w:rsidR="004B74F7" w:rsidRPr="00F4093E" w:rsidRDefault="004B74F7" w:rsidP="00F4093E">
      <w:pPr>
        <w:pStyle w:val="ListParagraph"/>
        <w:numPr>
          <w:ilvl w:val="0"/>
          <w:numId w:val="33"/>
        </w:numPr>
        <w:jc w:val="both"/>
        <w:rPr>
          <w:rFonts w:asciiTheme="majorHAnsi" w:hAnsiTheme="majorHAnsi" w:cstheme="majorBidi"/>
          <w:color w:val="002060"/>
          <w:sz w:val="24"/>
          <w:szCs w:val="24"/>
        </w:rPr>
      </w:pPr>
      <w:r w:rsidRPr="00F4093E">
        <w:rPr>
          <w:rFonts w:asciiTheme="majorHAnsi" w:hAnsiTheme="majorHAnsi" w:cstheme="majorBidi"/>
          <w:color w:val="002060"/>
          <w:sz w:val="24"/>
          <w:szCs w:val="24"/>
        </w:rPr>
        <w:t>Niger and Senegal growth is expected to be at 12.8% and 8.8%.</w:t>
      </w:r>
    </w:p>
    <w:p w14:paraId="32FD3C0E" w14:textId="77777777" w:rsidR="004B74F7" w:rsidRPr="00F4093E" w:rsidRDefault="004B74F7" w:rsidP="00F4093E">
      <w:pPr>
        <w:pStyle w:val="ListParagraph"/>
        <w:numPr>
          <w:ilvl w:val="0"/>
          <w:numId w:val="33"/>
        </w:numPr>
        <w:jc w:val="both"/>
        <w:rPr>
          <w:rFonts w:asciiTheme="majorHAnsi" w:hAnsiTheme="majorHAnsi" w:cstheme="majorBidi"/>
          <w:color w:val="002060"/>
          <w:sz w:val="24"/>
          <w:szCs w:val="24"/>
        </w:rPr>
      </w:pPr>
      <w:r w:rsidRPr="00F4093E">
        <w:rPr>
          <w:rFonts w:asciiTheme="majorHAnsi" w:hAnsiTheme="majorHAnsi" w:cstheme="majorBidi"/>
          <w:color w:val="002060"/>
          <w:sz w:val="24"/>
          <w:szCs w:val="24"/>
        </w:rPr>
        <w:t>Benin, Cote D’Ivoire, The Gambia, Rwanda, Senegal, and Tanzania are forecasted to post a 6% growth in 2024.</w:t>
      </w:r>
    </w:p>
    <w:p w14:paraId="37F5BA21" w14:textId="77777777" w:rsidR="004B74F7" w:rsidRPr="00F4093E" w:rsidRDefault="004B74F7" w:rsidP="00F4093E">
      <w:pPr>
        <w:pStyle w:val="ListParagraph"/>
        <w:numPr>
          <w:ilvl w:val="0"/>
          <w:numId w:val="33"/>
        </w:numPr>
        <w:jc w:val="both"/>
        <w:rPr>
          <w:rFonts w:asciiTheme="majorHAnsi" w:hAnsiTheme="majorHAnsi" w:cstheme="majorBidi"/>
          <w:color w:val="002060"/>
          <w:sz w:val="24"/>
          <w:szCs w:val="24"/>
        </w:rPr>
      </w:pPr>
      <w:r w:rsidRPr="00F4093E">
        <w:rPr>
          <w:rFonts w:asciiTheme="majorHAnsi" w:hAnsiTheme="majorHAnsi" w:cstheme="majorBidi"/>
          <w:color w:val="002060"/>
          <w:sz w:val="24"/>
          <w:szCs w:val="24"/>
        </w:rPr>
        <w:t>The five most prosperous countries currently are South Africa, Egypt, Nigeria, Kenya and Morocco, representing 56% of Africa’s HNWIs.</w:t>
      </w:r>
    </w:p>
    <w:p w14:paraId="68F2640B" w14:textId="77777777" w:rsidR="004B74F7" w:rsidRPr="00F4093E" w:rsidRDefault="004B74F7" w:rsidP="00F4093E">
      <w:pPr>
        <w:pStyle w:val="ListParagraph"/>
        <w:numPr>
          <w:ilvl w:val="0"/>
          <w:numId w:val="34"/>
        </w:numPr>
        <w:jc w:val="both"/>
        <w:rPr>
          <w:rFonts w:asciiTheme="majorHAnsi" w:hAnsiTheme="majorHAnsi" w:cstheme="majorBidi"/>
          <w:color w:val="002060"/>
          <w:sz w:val="24"/>
          <w:szCs w:val="24"/>
        </w:rPr>
      </w:pPr>
      <w:r w:rsidRPr="00F4093E">
        <w:rPr>
          <w:rFonts w:asciiTheme="majorHAnsi" w:hAnsiTheme="majorHAnsi" w:cstheme="majorBidi"/>
          <w:color w:val="002060"/>
          <w:sz w:val="24"/>
          <w:szCs w:val="24"/>
        </w:rPr>
        <w:t>Sub-Saharan region has the highest proportion of women entrepreneurs in the world.</w:t>
      </w:r>
    </w:p>
    <w:p w14:paraId="35F4F4F4" w14:textId="77777777" w:rsidR="004B74F7" w:rsidRDefault="004B74F7" w:rsidP="004B74F7">
      <w:pPr>
        <w:pStyle w:val="NormalWeb"/>
        <w:spacing w:before="0" w:beforeAutospacing="0" w:after="0" w:afterAutospacing="0" w:line="308" w:lineRule="atLeast"/>
        <w:rPr>
          <w:rFonts w:ascii="Arial" w:hAnsi="Arial" w:cs="Arial"/>
          <w:sz w:val="21"/>
          <w:szCs w:val="21"/>
        </w:rPr>
      </w:pPr>
    </w:p>
    <w:p w14:paraId="32E3E0AE" w14:textId="77777777" w:rsidR="00120077" w:rsidRDefault="00120077" w:rsidP="00371972">
      <w:pPr>
        <w:spacing w:after="120"/>
        <w:jc w:val="both"/>
        <w:rPr>
          <w:rFonts w:asciiTheme="majorHAnsi" w:hAnsiTheme="majorHAnsi" w:cstheme="majorHAnsi"/>
          <w:color w:val="002060"/>
        </w:rPr>
      </w:pPr>
    </w:p>
    <w:p w14:paraId="12B06448" w14:textId="77777777" w:rsidR="001505F8" w:rsidRDefault="001505F8" w:rsidP="00371972">
      <w:pPr>
        <w:spacing w:after="120"/>
        <w:jc w:val="both"/>
        <w:rPr>
          <w:rFonts w:asciiTheme="majorHAnsi" w:hAnsiTheme="majorHAnsi" w:cstheme="majorHAnsi"/>
          <w:color w:val="002060"/>
        </w:rPr>
      </w:pPr>
    </w:p>
    <w:p w14:paraId="26ADBA75" w14:textId="76E17BB1" w:rsidR="001505F8" w:rsidRDefault="001505F8" w:rsidP="00371972">
      <w:pPr>
        <w:spacing w:after="120"/>
        <w:jc w:val="both"/>
        <w:rPr>
          <w:rFonts w:asciiTheme="majorHAnsi" w:hAnsiTheme="majorHAnsi" w:cstheme="majorHAnsi"/>
          <w:color w:val="002060"/>
        </w:rPr>
      </w:pPr>
    </w:p>
    <w:p w14:paraId="2217072A" w14:textId="29DBBFBE" w:rsidR="00074004" w:rsidRDefault="00074004" w:rsidP="00074004">
      <w:pPr>
        <w:spacing w:after="120"/>
        <w:jc w:val="both"/>
        <w:rPr>
          <w:rFonts w:asciiTheme="majorHAnsi" w:hAnsiTheme="majorHAnsi" w:cstheme="majorHAnsi"/>
          <w:color w:val="002060"/>
        </w:rPr>
      </w:pPr>
      <w:r w:rsidRPr="00074004">
        <w:rPr>
          <w:rFonts w:asciiTheme="majorHAnsi" w:hAnsiTheme="majorHAnsi" w:cstheme="majorHAnsi"/>
          <w:b/>
          <w:bCs/>
          <w:color w:val="002060"/>
        </w:rPr>
        <w:t>About DTOS:</w:t>
      </w:r>
      <w:r w:rsidRPr="00074004">
        <w:rPr>
          <w:rFonts w:asciiTheme="majorHAnsi" w:hAnsiTheme="majorHAnsi" w:cstheme="majorHAnsi"/>
          <w:color w:val="002060"/>
        </w:rPr>
        <w:t xml:space="preserve"> As a Corporate Service Provider with three decades of existence, we assist our clients in cross-border corporate structuring to optimise their business activities while creating enhanced value for the shareholders using the Mauritius International Financial Centre (MIFC).</w:t>
      </w:r>
    </w:p>
    <w:p w14:paraId="3644ACD2" w14:textId="77777777" w:rsidR="00074004" w:rsidRDefault="00074004" w:rsidP="00074004">
      <w:pPr>
        <w:spacing w:after="120"/>
        <w:jc w:val="both"/>
        <w:rPr>
          <w:rFonts w:asciiTheme="majorHAnsi" w:hAnsiTheme="majorHAnsi" w:cstheme="majorHAnsi"/>
          <w:color w:val="002060"/>
        </w:rPr>
      </w:pPr>
    </w:p>
    <w:p w14:paraId="2EAF3726" w14:textId="785FF0FC" w:rsidR="00074004" w:rsidRPr="00074004" w:rsidRDefault="00074004" w:rsidP="00074004">
      <w:pPr>
        <w:spacing w:after="120"/>
        <w:jc w:val="both"/>
        <w:rPr>
          <w:rFonts w:asciiTheme="majorHAnsi" w:hAnsiTheme="majorHAnsi" w:cstheme="majorHAnsi"/>
          <w:b/>
          <w:bCs/>
          <w:color w:val="002060"/>
          <w:sz w:val="22"/>
          <w:szCs w:val="22"/>
        </w:rPr>
      </w:pPr>
      <w:r w:rsidRPr="00074004">
        <w:rPr>
          <w:rFonts w:asciiTheme="majorHAnsi" w:hAnsiTheme="majorHAnsi" w:cstheme="majorHAnsi"/>
          <w:b/>
          <w:bCs/>
          <w:color w:val="002060"/>
        </w:rPr>
        <w:t xml:space="preserve">Contact us: </w:t>
      </w:r>
      <w:r w:rsidRPr="00074004">
        <w:rPr>
          <w:rFonts w:asciiTheme="majorHAnsi" w:hAnsiTheme="majorHAnsi" w:cstheme="majorHAnsi"/>
          <w:color w:val="002060"/>
        </w:rPr>
        <w:t>info@dtos-mu.com</w:t>
      </w:r>
    </w:p>
    <w:p w14:paraId="3984434F" w14:textId="77777777" w:rsidR="00074004" w:rsidRDefault="00074004" w:rsidP="00371972">
      <w:pPr>
        <w:spacing w:after="120"/>
        <w:jc w:val="both"/>
        <w:rPr>
          <w:rFonts w:asciiTheme="majorHAnsi" w:hAnsiTheme="majorHAnsi" w:cstheme="majorHAnsi"/>
          <w:color w:val="002060"/>
        </w:rPr>
      </w:pPr>
    </w:p>
    <w:p w14:paraId="216C7B12" w14:textId="2A1C0C44" w:rsidR="001505F8" w:rsidRPr="00EC5C4C" w:rsidRDefault="001505F8" w:rsidP="00371972">
      <w:pPr>
        <w:spacing w:after="120"/>
        <w:jc w:val="both"/>
        <w:rPr>
          <w:rFonts w:asciiTheme="majorHAnsi" w:hAnsiTheme="majorHAnsi" w:cstheme="majorHAnsi"/>
          <w:color w:val="002060"/>
        </w:rPr>
      </w:pPr>
    </w:p>
    <w:sectPr w:rsidR="001505F8" w:rsidRPr="00EC5C4C" w:rsidSect="00047C40">
      <w:headerReference w:type="default" r:id="rId12"/>
      <w:footerReference w:type="default" r:id="rId13"/>
      <w:type w:val="continuous"/>
      <w:pgSz w:w="11906" w:h="16838" w:code="9"/>
      <w:pgMar w:top="1440" w:right="1440" w:bottom="816" w:left="1440" w:header="0"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58ACF" w14:textId="77777777" w:rsidR="00BB33F9" w:rsidRDefault="00BB33F9" w:rsidP="002373F5">
      <w:r>
        <w:separator/>
      </w:r>
    </w:p>
  </w:endnote>
  <w:endnote w:type="continuationSeparator" w:id="0">
    <w:p w14:paraId="7282CC40" w14:textId="77777777" w:rsidR="00BB33F9" w:rsidRDefault="00BB33F9" w:rsidP="002373F5">
      <w:r>
        <w:continuationSeparator/>
      </w:r>
    </w:p>
  </w:endnote>
  <w:endnote w:type="continuationNotice" w:id="1">
    <w:p w14:paraId="76D7FFD1" w14:textId="77777777" w:rsidR="00BB33F9" w:rsidRDefault="00BB3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71CA9" w14:textId="77777777" w:rsidR="00462082" w:rsidRPr="00413B95" w:rsidRDefault="00462082" w:rsidP="00D56ECB">
    <w:pPr>
      <w:pStyle w:val="Footer"/>
      <w:tabs>
        <w:tab w:val="right" w:pos="4513"/>
      </w:tabs>
      <w:spacing w:line="360" w:lineRule="auto"/>
      <w:ind w:right="-613"/>
      <w:rPr>
        <w:rFonts w:ascii="Georgia" w:hAnsi="Georgia" w:cstheme="majorHAnsi"/>
        <w:sz w:val="18"/>
        <w:szCs w:val="18"/>
      </w:rPr>
    </w:pPr>
    <w:r w:rsidRPr="00413B95">
      <w:rPr>
        <w:rFonts w:ascii="Georgia" w:hAnsi="Georgia" w:cstheme="majorHAnsi"/>
        <w:noProof/>
        <w:sz w:val="18"/>
        <w:szCs w:val="18"/>
      </w:rPr>
      <w:drawing>
        <wp:anchor distT="0" distB="0" distL="114300" distR="114300" simplePos="0" relativeHeight="251658243" behindDoc="1" locked="0" layoutInCell="1" allowOverlap="1" wp14:anchorId="45A4679E" wp14:editId="4F27E43A">
          <wp:simplePos x="0" y="0"/>
          <wp:positionH relativeFrom="column">
            <wp:posOffset>-1055370</wp:posOffset>
          </wp:positionH>
          <wp:positionV relativeFrom="paragraph">
            <wp:posOffset>551815</wp:posOffset>
          </wp:positionV>
          <wp:extent cx="7742555" cy="520700"/>
          <wp:effectExtent l="0" t="0" r="4445" b="0"/>
          <wp:wrapNone/>
          <wp:docPr id="193269069" name="Picture 19326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2555" cy="520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E0C31" w14:textId="77777777" w:rsidR="00BB33F9" w:rsidRDefault="00BB33F9" w:rsidP="002373F5">
      <w:r>
        <w:separator/>
      </w:r>
    </w:p>
  </w:footnote>
  <w:footnote w:type="continuationSeparator" w:id="0">
    <w:p w14:paraId="025DD0F3" w14:textId="77777777" w:rsidR="00BB33F9" w:rsidRDefault="00BB33F9" w:rsidP="002373F5">
      <w:r>
        <w:continuationSeparator/>
      </w:r>
    </w:p>
  </w:footnote>
  <w:footnote w:type="continuationNotice" w:id="1">
    <w:p w14:paraId="15175053" w14:textId="77777777" w:rsidR="00BB33F9" w:rsidRDefault="00BB3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0902" w14:textId="77777777" w:rsidR="00462082" w:rsidRDefault="00462082">
    <w:pPr>
      <w:pStyle w:val="Header"/>
    </w:pPr>
    <w:r>
      <w:rPr>
        <w:noProof/>
      </w:rPr>
      <w:drawing>
        <wp:anchor distT="0" distB="0" distL="114300" distR="114300" simplePos="0" relativeHeight="251658242" behindDoc="1" locked="0" layoutInCell="1" allowOverlap="1" wp14:anchorId="53BFDD06" wp14:editId="028F11A4">
          <wp:simplePos x="0" y="0"/>
          <wp:positionH relativeFrom="column">
            <wp:posOffset>-952500</wp:posOffset>
          </wp:positionH>
          <wp:positionV relativeFrom="paragraph">
            <wp:posOffset>-76200</wp:posOffset>
          </wp:positionV>
          <wp:extent cx="7640320" cy="1878965"/>
          <wp:effectExtent l="0" t="0" r="5080" b="0"/>
          <wp:wrapTight wrapText="bothSides">
            <wp:wrapPolygon edited="0">
              <wp:start x="0" y="0"/>
              <wp:lineTo x="0" y="15038"/>
              <wp:lineTo x="1041" y="16351"/>
              <wp:lineTo x="1041" y="19125"/>
              <wp:lineTo x="1400" y="19125"/>
              <wp:lineTo x="1436" y="18833"/>
              <wp:lineTo x="5027" y="16497"/>
              <wp:lineTo x="5852" y="16351"/>
              <wp:lineTo x="6714" y="15184"/>
              <wp:lineTo x="6678" y="11680"/>
              <wp:lineTo x="21578" y="10366"/>
              <wp:lineTo x="21578" y="0"/>
              <wp:lineTo x="0" y="0"/>
            </wp:wrapPolygon>
          </wp:wrapTight>
          <wp:docPr id="1946962943" name="Picture 194696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rcRect l="509" r="509"/>
                  <a:stretch>
                    <a:fillRect/>
                  </a:stretch>
                </pic:blipFill>
                <pic:spPr bwMode="auto">
                  <a:xfrm>
                    <a:off x="0" y="0"/>
                    <a:ext cx="7640320" cy="1878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2F7277" w14:textId="77777777" w:rsidR="00462082" w:rsidRDefault="004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04D3"/>
    <w:multiLevelType w:val="hybridMultilevel"/>
    <w:tmpl w:val="692C2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224C0"/>
    <w:multiLevelType w:val="hybridMultilevel"/>
    <w:tmpl w:val="261C6D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1D294A"/>
    <w:multiLevelType w:val="hybridMultilevel"/>
    <w:tmpl w:val="8304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6274A"/>
    <w:multiLevelType w:val="multilevel"/>
    <w:tmpl w:val="FCF6E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043EE4"/>
    <w:multiLevelType w:val="hybridMultilevel"/>
    <w:tmpl w:val="FE6E63F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23484C89"/>
    <w:multiLevelType w:val="hybridMultilevel"/>
    <w:tmpl w:val="C082E1E0"/>
    <w:lvl w:ilvl="0" w:tplc="2000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1314CD"/>
    <w:multiLevelType w:val="multilevel"/>
    <w:tmpl w:val="45CAD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427FEF"/>
    <w:multiLevelType w:val="hybridMultilevel"/>
    <w:tmpl w:val="D61ED2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D0F41F0"/>
    <w:multiLevelType w:val="hybridMultilevel"/>
    <w:tmpl w:val="4A700448"/>
    <w:lvl w:ilvl="0" w:tplc="CAF845F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1F3C39"/>
    <w:multiLevelType w:val="hybridMultilevel"/>
    <w:tmpl w:val="4CD4CD82"/>
    <w:lvl w:ilvl="0" w:tplc="20000013">
      <w:start w:val="1"/>
      <w:numFmt w:val="upperRoman"/>
      <w:lvlText w:val="%1."/>
      <w:lvlJc w:val="righ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DB94072"/>
    <w:multiLevelType w:val="hybridMultilevel"/>
    <w:tmpl w:val="3566165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F255544"/>
    <w:multiLevelType w:val="hybridMultilevel"/>
    <w:tmpl w:val="D2C46A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7A273E0"/>
    <w:multiLevelType w:val="hybridMultilevel"/>
    <w:tmpl w:val="2F84561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9AD4EEC"/>
    <w:multiLevelType w:val="hybridMultilevel"/>
    <w:tmpl w:val="FDEA9F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4076EC"/>
    <w:multiLevelType w:val="hybridMultilevel"/>
    <w:tmpl w:val="347866D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45FE51BC"/>
    <w:multiLevelType w:val="hybridMultilevel"/>
    <w:tmpl w:val="B25E74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71003D3"/>
    <w:multiLevelType w:val="hybridMultilevel"/>
    <w:tmpl w:val="E138CFC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7" w15:restartNumberingAfterBreak="0">
    <w:nsid w:val="481A5308"/>
    <w:multiLevelType w:val="hybridMultilevel"/>
    <w:tmpl w:val="5C50D460"/>
    <w:lvl w:ilvl="0" w:tplc="6BAC263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10E4FF8"/>
    <w:multiLevelType w:val="hybridMultilevel"/>
    <w:tmpl w:val="44C49F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3A65020"/>
    <w:multiLevelType w:val="hybridMultilevel"/>
    <w:tmpl w:val="3468FE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4922924"/>
    <w:multiLevelType w:val="hybridMultilevel"/>
    <w:tmpl w:val="F1C46E3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1" w15:restartNumberingAfterBreak="0">
    <w:nsid w:val="5B981E8B"/>
    <w:multiLevelType w:val="hybridMultilevel"/>
    <w:tmpl w:val="C7BCEB5E"/>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5F0A3B36"/>
    <w:multiLevelType w:val="hybridMultilevel"/>
    <w:tmpl w:val="A53680E2"/>
    <w:lvl w:ilvl="0" w:tplc="4C09001B">
      <w:start w:val="1"/>
      <w:numFmt w:val="lowerRoman"/>
      <w:lvlText w:val="%1."/>
      <w:lvlJc w:val="right"/>
      <w:pPr>
        <w:ind w:left="1080" w:hanging="360"/>
      </w:p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3" w15:restartNumberingAfterBreak="0">
    <w:nsid w:val="660102D2"/>
    <w:multiLevelType w:val="hybridMultilevel"/>
    <w:tmpl w:val="B554F0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6FF0D34"/>
    <w:multiLevelType w:val="hybridMultilevel"/>
    <w:tmpl w:val="5D366BE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FD2A18"/>
    <w:multiLevelType w:val="hybridMultilevel"/>
    <w:tmpl w:val="B9F6C7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0B386E"/>
    <w:multiLevelType w:val="hybridMultilevel"/>
    <w:tmpl w:val="294EFB0C"/>
    <w:lvl w:ilvl="0" w:tplc="2000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040695"/>
    <w:multiLevelType w:val="hybridMultilevel"/>
    <w:tmpl w:val="7D080A9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2323A39"/>
    <w:multiLevelType w:val="hybridMultilevel"/>
    <w:tmpl w:val="441C4A92"/>
    <w:lvl w:ilvl="0" w:tplc="EB2E000E">
      <w:start w:val="1"/>
      <w:numFmt w:val="lowerRoman"/>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7B2834"/>
    <w:multiLevelType w:val="hybridMultilevel"/>
    <w:tmpl w:val="DCFAE55C"/>
    <w:lvl w:ilvl="0" w:tplc="20000013">
      <w:start w:val="1"/>
      <w:numFmt w:val="upperRoman"/>
      <w:lvlText w:val="%1."/>
      <w:lvlJc w:val="right"/>
      <w:pPr>
        <w:ind w:left="1080" w:hanging="360"/>
      </w:p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72C54B93"/>
    <w:multiLevelType w:val="hybridMultilevel"/>
    <w:tmpl w:val="CBACFCA8"/>
    <w:lvl w:ilvl="0" w:tplc="CAF845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1066F5"/>
    <w:multiLevelType w:val="hybridMultilevel"/>
    <w:tmpl w:val="F5E2933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4DF6567"/>
    <w:multiLevelType w:val="hybridMultilevel"/>
    <w:tmpl w:val="7FC65ABE"/>
    <w:lvl w:ilvl="0" w:tplc="EB2E000E">
      <w:start w:val="1"/>
      <w:numFmt w:val="lowerRoman"/>
      <w:lvlText w:val="(%1)"/>
      <w:lvlJc w:val="left"/>
      <w:pPr>
        <w:ind w:left="1080" w:hanging="72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76B27AF"/>
    <w:multiLevelType w:val="hybridMultilevel"/>
    <w:tmpl w:val="3FCE51CE"/>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099564678">
    <w:abstractNumId w:val="24"/>
  </w:num>
  <w:num w:numId="2" w16cid:durableId="2018999285">
    <w:abstractNumId w:val="25"/>
  </w:num>
  <w:num w:numId="3" w16cid:durableId="1425607921">
    <w:abstractNumId w:val="13"/>
  </w:num>
  <w:num w:numId="4" w16cid:durableId="2115202276">
    <w:abstractNumId w:val="14"/>
  </w:num>
  <w:num w:numId="5" w16cid:durableId="1841576192">
    <w:abstractNumId w:val="2"/>
  </w:num>
  <w:num w:numId="6" w16cid:durableId="2136174393">
    <w:abstractNumId w:val="11"/>
  </w:num>
  <w:num w:numId="7" w16cid:durableId="363098293">
    <w:abstractNumId w:val="6"/>
  </w:num>
  <w:num w:numId="8" w16cid:durableId="1560438173">
    <w:abstractNumId w:val="1"/>
  </w:num>
  <w:num w:numId="9" w16cid:durableId="1641153311">
    <w:abstractNumId w:val="0"/>
  </w:num>
  <w:num w:numId="10" w16cid:durableId="624387518">
    <w:abstractNumId w:val="30"/>
  </w:num>
  <w:num w:numId="11" w16cid:durableId="1689678015">
    <w:abstractNumId w:val="8"/>
  </w:num>
  <w:num w:numId="12" w16cid:durableId="1645506411">
    <w:abstractNumId w:val="17"/>
  </w:num>
  <w:num w:numId="13" w16cid:durableId="2066830007">
    <w:abstractNumId w:val="4"/>
  </w:num>
  <w:num w:numId="14" w16cid:durableId="166406569">
    <w:abstractNumId w:val="16"/>
  </w:num>
  <w:num w:numId="15" w16cid:durableId="2075546483">
    <w:abstractNumId w:val="22"/>
  </w:num>
  <w:num w:numId="16" w16cid:durableId="462969770">
    <w:abstractNumId w:val="20"/>
  </w:num>
  <w:num w:numId="17" w16cid:durableId="1609388301">
    <w:abstractNumId w:val="12"/>
  </w:num>
  <w:num w:numId="18" w16cid:durableId="1135099208">
    <w:abstractNumId w:val="15"/>
  </w:num>
  <w:num w:numId="19" w16cid:durableId="938490990">
    <w:abstractNumId w:val="27"/>
  </w:num>
  <w:num w:numId="20" w16cid:durableId="276180922">
    <w:abstractNumId w:val="31"/>
  </w:num>
  <w:num w:numId="21" w16cid:durableId="1944412592">
    <w:abstractNumId w:val="5"/>
  </w:num>
  <w:num w:numId="22" w16cid:durableId="424963690">
    <w:abstractNumId w:val="26"/>
  </w:num>
  <w:num w:numId="23" w16cid:durableId="549531926">
    <w:abstractNumId w:val="21"/>
  </w:num>
  <w:num w:numId="24" w16cid:durableId="395786844">
    <w:abstractNumId w:val="18"/>
  </w:num>
  <w:num w:numId="25" w16cid:durableId="1962228615">
    <w:abstractNumId w:val="33"/>
  </w:num>
  <w:num w:numId="26" w16cid:durableId="1931280953">
    <w:abstractNumId w:val="29"/>
  </w:num>
  <w:num w:numId="27" w16cid:durableId="1417432973">
    <w:abstractNumId w:val="9"/>
  </w:num>
  <w:num w:numId="28" w16cid:durableId="2001883401">
    <w:abstractNumId w:val="3"/>
  </w:num>
  <w:num w:numId="29" w16cid:durableId="607926762">
    <w:abstractNumId w:val="10"/>
  </w:num>
  <w:num w:numId="30" w16cid:durableId="1117410178">
    <w:abstractNumId w:val="32"/>
  </w:num>
  <w:num w:numId="31" w16cid:durableId="1249189800">
    <w:abstractNumId w:val="28"/>
  </w:num>
  <w:num w:numId="32" w16cid:durableId="237398762">
    <w:abstractNumId w:val="19"/>
  </w:num>
  <w:num w:numId="33" w16cid:durableId="216665125">
    <w:abstractNumId w:val="7"/>
  </w:num>
  <w:num w:numId="34" w16cid:durableId="2690520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72"/>
    <w:rsid w:val="00007580"/>
    <w:rsid w:val="0001537A"/>
    <w:rsid w:val="0001710D"/>
    <w:rsid w:val="00027A62"/>
    <w:rsid w:val="00030365"/>
    <w:rsid w:val="00035877"/>
    <w:rsid w:val="00040E6B"/>
    <w:rsid w:val="0004655B"/>
    <w:rsid w:val="00047C40"/>
    <w:rsid w:val="000653E7"/>
    <w:rsid w:val="00066289"/>
    <w:rsid w:val="00074004"/>
    <w:rsid w:val="0007502E"/>
    <w:rsid w:val="000834FC"/>
    <w:rsid w:val="00083F65"/>
    <w:rsid w:val="00087404"/>
    <w:rsid w:val="00092237"/>
    <w:rsid w:val="00094C87"/>
    <w:rsid w:val="000952F2"/>
    <w:rsid w:val="00096B9D"/>
    <w:rsid w:val="000A17E2"/>
    <w:rsid w:val="000B1BA0"/>
    <w:rsid w:val="000B1FCF"/>
    <w:rsid w:val="000C7022"/>
    <w:rsid w:val="000D6219"/>
    <w:rsid w:val="000E1B5D"/>
    <w:rsid w:val="000F5831"/>
    <w:rsid w:val="000F62BB"/>
    <w:rsid w:val="00104DB0"/>
    <w:rsid w:val="00110644"/>
    <w:rsid w:val="00120077"/>
    <w:rsid w:val="00121D2E"/>
    <w:rsid w:val="00127C70"/>
    <w:rsid w:val="0013055E"/>
    <w:rsid w:val="001338DB"/>
    <w:rsid w:val="001358C9"/>
    <w:rsid w:val="001443EE"/>
    <w:rsid w:val="001505F8"/>
    <w:rsid w:val="00151322"/>
    <w:rsid w:val="0015166E"/>
    <w:rsid w:val="00154EE8"/>
    <w:rsid w:val="001557B5"/>
    <w:rsid w:val="00164A4C"/>
    <w:rsid w:val="001666FD"/>
    <w:rsid w:val="001932E9"/>
    <w:rsid w:val="001A00F7"/>
    <w:rsid w:val="001A0222"/>
    <w:rsid w:val="001A4D9A"/>
    <w:rsid w:val="001A7412"/>
    <w:rsid w:val="001B11D6"/>
    <w:rsid w:val="001B7C4D"/>
    <w:rsid w:val="001C03D8"/>
    <w:rsid w:val="001C67CC"/>
    <w:rsid w:val="001E5134"/>
    <w:rsid w:val="001F59ED"/>
    <w:rsid w:val="001F719F"/>
    <w:rsid w:val="0020209B"/>
    <w:rsid w:val="00204633"/>
    <w:rsid w:val="00213465"/>
    <w:rsid w:val="00214F79"/>
    <w:rsid w:val="002161E2"/>
    <w:rsid w:val="00221AD1"/>
    <w:rsid w:val="002228A4"/>
    <w:rsid w:val="00222BA5"/>
    <w:rsid w:val="002373F5"/>
    <w:rsid w:val="0024158F"/>
    <w:rsid w:val="00244086"/>
    <w:rsid w:val="0025374A"/>
    <w:rsid w:val="002549B8"/>
    <w:rsid w:val="00256F6F"/>
    <w:rsid w:val="002636ED"/>
    <w:rsid w:val="002658C9"/>
    <w:rsid w:val="002667DF"/>
    <w:rsid w:val="0027518D"/>
    <w:rsid w:val="00291328"/>
    <w:rsid w:val="0029134A"/>
    <w:rsid w:val="0029725F"/>
    <w:rsid w:val="002A3580"/>
    <w:rsid w:val="002A7688"/>
    <w:rsid w:val="002A7CBE"/>
    <w:rsid w:val="002B0472"/>
    <w:rsid w:val="002B203C"/>
    <w:rsid w:val="002B5236"/>
    <w:rsid w:val="002B53FC"/>
    <w:rsid w:val="002B6570"/>
    <w:rsid w:val="002C0818"/>
    <w:rsid w:val="002C2893"/>
    <w:rsid w:val="002D0B3C"/>
    <w:rsid w:val="002D6956"/>
    <w:rsid w:val="002E280F"/>
    <w:rsid w:val="002E4E49"/>
    <w:rsid w:val="002F2113"/>
    <w:rsid w:val="002F6D87"/>
    <w:rsid w:val="00304A77"/>
    <w:rsid w:val="0031284E"/>
    <w:rsid w:val="0031573E"/>
    <w:rsid w:val="003267C5"/>
    <w:rsid w:val="00331A66"/>
    <w:rsid w:val="00331DD7"/>
    <w:rsid w:val="003348EB"/>
    <w:rsid w:val="003413A3"/>
    <w:rsid w:val="003424B6"/>
    <w:rsid w:val="00345944"/>
    <w:rsid w:val="00347119"/>
    <w:rsid w:val="0036555D"/>
    <w:rsid w:val="00366FB5"/>
    <w:rsid w:val="00371972"/>
    <w:rsid w:val="00376DEC"/>
    <w:rsid w:val="003837BF"/>
    <w:rsid w:val="00384362"/>
    <w:rsid w:val="003916C7"/>
    <w:rsid w:val="003919C3"/>
    <w:rsid w:val="003975B6"/>
    <w:rsid w:val="003A2B33"/>
    <w:rsid w:val="003A348F"/>
    <w:rsid w:val="003A6370"/>
    <w:rsid w:val="003A6EC4"/>
    <w:rsid w:val="003B379E"/>
    <w:rsid w:val="003C105A"/>
    <w:rsid w:val="003D1305"/>
    <w:rsid w:val="003F7029"/>
    <w:rsid w:val="00413B95"/>
    <w:rsid w:val="00415717"/>
    <w:rsid w:val="004317EB"/>
    <w:rsid w:val="00431B48"/>
    <w:rsid w:val="004321A4"/>
    <w:rsid w:val="00434E5A"/>
    <w:rsid w:val="00444E34"/>
    <w:rsid w:val="00457AAC"/>
    <w:rsid w:val="004619D4"/>
    <w:rsid w:val="00462082"/>
    <w:rsid w:val="0046677E"/>
    <w:rsid w:val="00482245"/>
    <w:rsid w:val="00486D31"/>
    <w:rsid w:val="004917B1"/>
    <w:rsid w:val="004A7675"/>
    <w:rsid w:val="004A79DA"/>
    <w:rsid w:val="004B74F7"/>
    <w:rsid w:val="004C0E89"/>
    <w:rsid w:val="004E75D1"/>
    <w:rsid w:val="004E76E7"/>
    <w:rsid w:val="004F3E72"/>
    <w:rsid w:val="004F4E6B"/>
    <w:rsid w:val="004F55F4"/>
    <w:rsid w:val="005142A0"/>
    <w:rsid w:val="00514F06"/>
    <w:rsid w:val="005247D5"/>
    <w:rsid w:val="0052586B"/>
    <w:rsid w:val="00525B31"/>
    <w:rsid w:val="0052696A"/>
    <w:rsid w:val="00526D03"/>
    <w:rsid w:val="00532780"/>
    <w:rsid w:val="00542052"/>
    <w:rsid w:val="00547AC6"/>
    <w:rsid w:val="005504A6"/>
    <w:rsid w:val="00554315"/>
    <w:rsid w:val="00564E88"/>
    <w:rsid w:val="00565ABF"/>
    <w:rsid w:val="005669D4"/>
    <w:rsid w:val="00567F6F"/>
    <w:rsid w:val="00570555"/>
    <w:rsid w:val="00580CC8"/>
    <w:rsid w:val="00581CAC"/>
    <w:rsid w:val="005952AA"/>
    <w:rsid w:val="005954AA"/>
    <w:rsid w:val="005A01D6"/>
    <w:rsid w:val="005A4863"/>
    <w:rsid w:val="005C534D"/>
    <w:rsid w:val="005C5C12"/>
    <w:rsid w:val="005C6295"/>
    <w:rsid w:val="00600DF9"/>
    <w:rsid w:val="00614655"/>
    <w:rsid w:val="006177F7"/>
    <w:rsid w:val="006210D2"/>
    <w:rsid w:val="00626338"/>
    <w:rsid w:val="00626661"/>
    <w:rsid w:val="0063072F"/>
    <w:rsid w:val="00630B76"/>
    <w:rsid w:val="00631B24"/>
    <w:rsid w:val="00643E70"/>
    <w:rsid w:val="006443D0"/>
    <w:rsid w:val="00651C80"/>
    <w:rsid w:val="0066106F"/>
    <w:rsid w:val="006625C5"/>
    <w:rsid w:val="00666A53"/>
    <w:rsid w:val="006732DD"/>
    <w:rsid w:val="0067373E"/>
    <w:rsid w:val="006847B1"/>
    <w:rsid w:val="0068601C"/>
    <w:rsid w:val="0069214F"/>
    <w:rsid w:val="006A6065"/>
    <w:rsid w:val="006A6430"/>
    <w:rsid w:val="006B7E22"/>
    <w:rsid w:val="006C529C"/>
    <w:rsid w:val="006D738F"/>
    <w:rsid w:val="006E1F5D"/>
    <w:rsid w:val="006F34E3"/>
    <w:rsid w:val="007057DE"/>
    <w:rsid w:val="00712287"/>
    <w:rsid w:val="00713B05"/>
    <w:rsid w:val="0071482D"/>
    <w:rsid w:val="00726BCD"/>
    <w:rsid w:val="007311E8"/>
    <w:rsid w:val="007315E1"/>
    <w:rsid w:val="007513B6"/>
    <w:rsid w:val="00751B9B"/>
    <w:rsid w:val="00752897"/>
    <w:rsid w:val="00757CDE"/>
    <w:rsid w:val="00765402"/>
    <w:rsid w:val="00770A45"/>
    <w:rsid w:val="007736C7"/>
    <w:rsid w:val="00774CB7"/>
    <w:rsid w:val="00776874"/>
    <w:rsid w:val="00776DB0"/>
    <w:rsid w:val="007A65E1"/>
    <w:rsid w:val="007C080D"/>
    <w:rsid w:val="007C7D60"/>
    <w:rsid w:val="007E5102"/>
    <w:rsid w:val="007E7A96"/>
    <w:rsid w:val="007F10D3"/>
    <w:rsid w:val="007F1AAB"/>
    <w:rsid w:val="007F548A"/>
    <w:rsid w:val="00803D00"/>
    <w:rsid w:val="00804902"/>
    <w:rsid w:val="00815260"/>
    <w:rsid w:val="00816A18"/>
    <w:rsid w:val="00822AF1"/>
    <w:rsid w:val="008247A9"/>
    <w:rsid w:val="008306AF"/>
    <w:rsid w:val="008414AD"/>
    <w:rsid w:val="00852E22"/>
    <w:rsid w:val="00855FA8"/>
    <w:rsid w:val="00886C8B"/>
    <w:rsid w:val="00897E6E"/>
    <w:rsid w:val="008A236B"/>
    <w:rsid w:val="008B0CE3"/>
    <w:rsid w:val="008B29EA"/>
    <w:rsid w:val="008B3452"/>
    <w:rsid w:val="008B48AB"/>
    <w:rsid w:val="008C140F"/>
    <w:rsid w:val="00901822"/>
    <w:rsid w:val="00904FE0"/>
    <w:rsid w:val="009157A7"/>
    <w:rsid w:val="00917E6E"/>
    <w:rsid w:val="0092140F"/>
    <w:rsid w:val="009219B9"/>
    <w:rsid w:val="009224C5"/>
    <w:rsid w:val="009224F6"/>
    <w:rsid w:val="009314AB"/>
    <w:rsid w:val="009315DB"/>
    <w:rsid w:val="00934F2F"/>
    <w:rsid w:val="0094380E"/>
    <w:rsid w:val="009457C2"/>
    <w:rsid w:val="00953648"/>
    <w:rsid w:val="00957F01"/>
    <w:rsid w:val="009756E4"/>
    <w:rsid w:val="00976030"/>
    <w:rsid w:val="009824BC"/>
    <w:rsid w:val="009828E1"/>
    <w:rsid w:val="00982CC7"/>
    <w:rsid w:val="00991BF8"/>
    <w:rsid w:val="00992AF9"/>
    <w:rsid w:val="00996F15"/>
    <w:rsid w:val="009A5132"/>
    <w:rsid w:val="009C47F4"/>
    <w:rsid w:val="00A1105E"/>
    <w:rsid w:val="00A173CC"/>
    <w:rsid w:val="00A2141D"/>
    <w:rsid w:val="00A377E2"/>
    <w:rsid w:val="00A55A40"/>
    <w:rsid w:val="00A63AA0"/>
    <w:rsid w:val="00A643C3"/>
    <w:rsid w:val="00A72C5B"/>
    <w:rsid w:val="00A82260"/>
    <w:rsid w:val="00A90FEF"/>
    <w:rsid w:val="00AA0480"/>
    <w:rsid w:val="00AA2BFC"/>
    <w:rsid w:val="00AA2D8D"/>
    <w:rsid w:val="00AB35A0"/>
    <w:rsid w:val="00AB3BCE"/>
    <w:rsid w:val="00AC2582"/>
    <w:rsid w:val="00AC2858"/>
    <w:rsid w:val="00AC3041"/>
    <w:rsid w:val="00AD1F55"/>
    <w:rsid w:val="00AF1D87"/>
    <w:rsid w:val="00AF3B1B"/>
    <w:rsid w:val="00B03CC4"/>
    <w:rsid w:val="00B07BC7"/>
    <w:rsid w:val="00B10AE6"/>
    <w:rsid w:val="00B12D17"/>
    <w:rsid w:val="00B1497E"/>
    <w:rsid w:val="00B179E1"/>
    <w:rsid w:val="00B2156F"/>
    <w:rsid w:val="00B30CAF"/>
    <w:rsid w:val="00B33C27"/>
    <w:rsid w:val="00B42EFD"/>
    <w:rsid w:val="00B43371"/>
    <w:rsid w:val="00B475F3"/>
    <w:rsid w:val="00B50371"/>
    <w:rsid w:val="00B51435"/>
    <w:rsid w:val="00B54D04"/>
    <w:rsid w:val="00B55A47"/>
    <w:rsid w:val="00B65E5E"/>
    <w:rsid w:val="00B67780"/>
    <w:rsid w:val="00B6787A"/>
    <w:rsid w:val="00B71D84"/>
    <w:rsid w:val="00B77EA1"/>
    <w:rsid w:val="00B93232"/>
    <w:rsid w:val="00B947AD"/>
    <w:rsid w:val="00B979E0"/>
    <w:rsid w:val="00BA1DCA"/>
    <w:rsid w:val="00BA3F50"/>
    <w:rsid w:val="00BA4549"/>
    <w:rsid w:val="00BA66FE"/>
    <w:rsid w:val="00BB1ED2"/>
    <w:rsid w:val="00BB33F9"/>
    <w:rsid w:val="00BC400B"/>
    <w:rsid w:val="00BC516A"/>
    <w:rsid w:val="00BC5F05"/>
    <w:rsid w:val="00BD22A5"/>
    <w:rsid w:val="00BD60F2"/>
    <w:rsid w:val="00BD6DAD"/>
    <w:rsid w:val="00BE0812"/>
    <w:rsid w:val="00BE1FF3"/>
    <w:rsid w:val="00BF4EEE"/>
    <w:rsid w:val="00BF6303"/>
    <w:rsid w:val="00C00DE5"/>
    <w:rsid w:val="00C115BB"/>
    <w:rsid w:val="00C14846"/>
    <w:rsid w:val="00C15910"/>
    <w:rsid w:val="00C21BD9"/>
    <w:rsid w:val="00C253BC"/>
    <w:rsid w:val="00C44BA5"/>
    <w:rsid w:val="00C531A0"/>
    <w:rsid w:val="00C54F09"/>
    <w:rsid w:val="00C560EA"/>
    <w:rsid w:val="00C72AC9"/>
    <w:rsid w:val="00C73560"/>
    <w:rsid w:val="00C854C2"/>
    <w:rsid w:val="00C86FCB"/>
    <w:rsid w:val="00C87103"/>
    <w:rsid w:val="00C924AF"/>
    <w:rsid w:val="00CC5085"/>
    <w:rsid w:val="00CD221D"/>
    <w:rsid w:val="00CD39E4"/>
    <w:rsid w:val="00CD7EAE"/>
    <w:rsid w:val="00CF7589"/>
    <w:rsid w:val="00D024E0"/>
    <w:rsid w:val="00D05CEC"/>
    <w:rsid w:val="00D22716"/>
    <w:rsid w:val="00D2295C"/>
    <w:rsid w:val="00D27D71"/>
    <w:rsid w:val="00D32EAC"/>
    <w:rsid w:val="00D34F4F"/>
    <w:rsid w:val="00D46A96"/>
    <w:rsid w:val="00D56ECB"/>
    <w:rsid w:val="00D57D1C"/>
    <w:rsid w:val="00D60AC6"/>
    <w:rsid w:val="00D63487"/>
    <w:rsid w:val="00D72C0D"/>
    <w:rsid w:val="00D72D1B"/>
    <w:rsid w:val="00D74382"/>
    <w:rsid w:val="00D942F2"/>
    <w:rsid w:val="00DA0912"/>
    <w:rsid w:val="00DA7567"/>
    <w:rsid w:val="00DB511F"/>
    <w:rsid w:val="00DB52AA"/>
    <w:rsid w:val="00DC3355"/>
    <w:rsid w:val="00DC4E7E"/>
    <w:rsid w:val="00DC71CA"/>
    <w:rsid w:val="00DD3F12"/>
    <w:rsid w:val="00DE04D5"/>
    <w:rsid w:val="00DE4E41"/>
    <w:rsid w:val="00DF042B"/>
    <w:rsid w:val="00DF4D13"/>
    <w:rsid w:val="00E06A02"/>
    <w:rsid w:val="00E06FB4"/>
    <w:rsid w:val="00E10B42"/>
    <w:rsid w:val="00E17791"/>
    <w:rsid w:val="00E23B94"/>
    <w:rsid w:val="00E3391D"/>
    <w:rsid w:val="00E560DF"/>
    <w:rsid w:val="00E60BF0"/>
    <w:rsid w:val="00E62A99"/>
    <w:rsid w:val="00E66A62"/>
    <w:rsid w:val="00E71391"/>
    <w:rsid w:val="00E72E99"/>
    <w:rsid w:val="00E7486C"/>
    <w:rsid w:val="00E831BC"/>
    <w:rsid w:val="00E94B85"/>
    <w:rsid w:val="00EA6438"/>
    <w:rsid w:val="00EA68E4"/>
    <w:rsid w:val="00EB5F04"/>
    <w:rsid w:val="00EC5C4C"/>
    <w:rsid w:val="00ED403D"/>
    <w:rsid w:val="00ED4628"/>
    <w:rsid w:val="00ED6315"/>
    <w:rsid w:val="00ED6D7E"/>
    <w:rsid w:val="00EE5571"/>
    <w:rsid w:val="00EF6D1E"/>
    <w:rsid w:val="00EF7415"/>
    <w:rsid w:val="00F0153D"/>
    <w:rsid w:val="00F107AF"/>
    <w:rsid w:val="00F2104A"/>
    <w:rsid w:val="00F2334E"/>
    <w:rsid w:val="00F24E44"/>
    <w:rsid w:val="00F25125"/>
    <w:rsid w:val="00F4093E"/>
    <w:rsid w:val="00F43776"/>
    <w:rsid w:val="00F438AD"/>
    <w:rsid w:val="00F47902"/>
    <w:rsid w:val="00F5319A"/>
    <w:rsid w:val="00F57C39"/>
    <w:rsid w:val="00F62BA2"/>
    <w:rsid w:val="00F75343"/>
    <w:rsid w:val="00F92BB5"/>
    <w:rsid w:val="00F9710D"/>
    <w:rsid w:val="00FA3658"/>
    <w:rsid w:val="00FA3D0B"/>
    <w:rsid w:val="00FB241A"/>
    <w:rsid w:val="00FB271E"/>
    <w:rsid w:val="00FB390C"/>
    <w:rsid w:val="00FC126F"/>
    <w:rsid w:val="00FD1050"/>
    <w:rsid w:val="00FD57FD"/>
    <w:rsid w:val="00FE7BC0"/>
    <w:rsid w:val="019A4D4B"/>
    <w:rsid w:val="02905B7B"/>
    <w:rsid w:val="037D5FD8"/>
    <w:rsid w:val="061807E0"/>
    <w:rsid w:val="062C41AC"/>
    <w:rsid w:val="09ABB20F"/>
    <w:rsid w:val="0BFC2C96"/>
    <w:rsid w:val="0EF117A3"/>
    <w:rsid w:val="11D96548"/>
    <w:rsid w:val="155BECDE"/>
    <w:rsid w:val="15AA3219"/>
    <w:rsid w:val="1A51B804"/>
    <w:rsid w:val="1B5939F1"/>
    <w:rsid w:val="1BA1A10A"/>
    <w:rsid w:val="1D1C4226"/>
    <w:rsid w:val="2288E7F2"/>
    <w:rsid w:val="22AE0B8D"/>
    <w:rsid w:val="23E453F0"/>
    <w:rsid w:val="27806CF2"/>
    <w:rsid w:val="28EE10E1"/>
    <w:rsid w:val="313CB8EF"/>
    <w:rsid w:val="35128CD7"/>
    <w:rsid w:val="35E39137"/>
    <w:rsid w:val="39719690"/>
    <w:rsid w:val="3FEB91BE"/>
    <w:rsid w:val="46911F10"/>
    <w:rsid w:val="49E888F7"/>
    <w:rsid w:val="4A0C87D1"/>
    <w:rsid w:val="4C4026E8"/>
    <w:rsid w:val="4D9F8558"/>
    <w:rsid w:val="5147B8CA"/>
    <w:rsid w:val="53ED7F23"/>
    <w:rsid w:val="5511FE3E"/>
    <w:rsid w:val="55E57597"/>
    <w:rsid w:val="57DE9EC7"/>
    <w:rsid w:val="5B094A47"/>
    <w:rsid w:val="5B45E4A5"/>
    <w:rsid w:val="5CD652CC"/>
    <w:rsid w:val="5D9DA615"/>
    <w:rsid w:val="66DA08C8"/>
    <w:rsid w:val="6981356C"/>
    <w:rsid w:val="6B6D30AA"/>
    <w:rsid w:val="6E7F7607"/>
    <w:rsid w:val="704108F3"/>
    <w:rsid w:val="71C18BDD"/>
    <w:rsid w:val="7436B852"/>
    <w:rsid w:val="76BAAB0D"/>
    <w:rsid w:val="7A4AF1AE"/>
    <w:rsid w:val="7BFD37EF"/>
    <w:rsid w:val="7D07928E"/>
    <w:rsid w:val="7F79C9BD"/>
    <w:rsid w:val="7FFFB7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D5411"/>
  <w15:chartTrackingRefBased/>
  <w15:docId w15:val="{28C7B7D9-807D-4F83-8160-14E81689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3F5"/>
    <w:pPr>
      <w:tabs>
        <w:tab w:val="center" w:pos="4513"/>
        <w:tab w:val="right" w:pos="9026"/>
      </w:tabs>
    </w:pPr>
  </w:style>
  <w:style w:type="character" w:customStyle="1" w:styleId="HeaderChar">
    <w:name w:val="Header Char"/>
    <w:basedOn w:val="DefaultParagraphFont"/>
    <w:link w:val="Header"/>
    <w:uiPriority w:val="99"/>
    <w:rsid w:val="002373F5"/>
  </w:style>
  <w:style w:type="paragraph" w:styleId="Footer">
    <w:name w:val="footer"/>
    <w:basedOn w:val="Normal"/>
    <w:link w:val="FooterChar"/>
    <w:uiPriority w:val="99"/>
    <w:unhideWhenUsed/>
    <w:rsid w:val="002373F5"/>
    <w:pPr>
      <w:tabs>
        <w:tab w:val="center" w:pos="4513"/>
        <w:tab w:val="right" w:pos="9026"/>
      </w:tabs>
    </w:pPr>
  </w:style>
  <w:style w:type="character" w:customStyle="1" w:styleId="FooterChar">
    <w:name w:val="Footer Char"/>
    <w:basedOn w:val="DefaultParagraphFont"/>
    <w:link w:val="Footer"/>
    <w:uiPriority w:val="99"/>
    <w:rsid w:val="002373F5"/>
  </w:style>
  <w:style w:type="character" w:styleId="Hyperlink">
    <w:name w:val="Hyperlink"/>
    <w:basedOn w:val="DefaultParagraphFont"/>
    <w:uiPriority w:val="99"/>
    <w:unhideWhenUsed/>
    <w:rsid w:val="008B3452"/>
    <w:rPr>
      <w:color w:val="0563C1" w:themeColor="hyperlink"/>
      <w:u w:val="single"/>
    </w:rPr>
  </w:style>
  <w:style w:type="character" w:styleId="UnresolvedMention">
    <w:name w:val="Unresolved Mention"/>
    <w:basedOn w:val="DefaultParagraphFont"/>
    <w:uiPriority w:val="99"/>
    <w:semiHidden/>
    <w:unhideWhenUsed/>
    <w:rsid w:val="008B3452"/>
    <w:rPr>
      <w:color w:val="605E5C"/>
      <w:shd w:val="clear" w:color="auto" w:fill="E1DFDD"/>
    </w:rPr>
  </w:style>
  <w:style w:type="character" w:styleId="FollowedHyperlink">
    <w:name w:val="FollowedHyperlink"/>
    <w:basedOn w:val="DefaultParagraphFont"/>
    <w:uiPriority w:val="99"/>
    <w:semiHidden/>
    <w:unhideWhenUsed/>
    <w:rsid w:val="008B3452"/>
    <w:rPr>
      <w:color w:val="954F72" w:themeColor="followedHyperlink"/>
      <w:u w:val="single"/>
    </w:rPr>
  </w:style>
  <w:style w:type="paragraph" w:styleId="ListParagraph">
    <w:name w:val="List Paragraph"/>
    <w:basedOn w:val="Normal"/>
    <w:uiPriority w:val="34"/>
    <w:qFormat/>
    <w:rsid w:val="001A7412"/>
    <w:pPr>
      <w:spacing w:after="160" w:line="259" w:lineRule="auto"/>
      <w:ind w:left="720"/>
      <w:contextualSpacing/>
    </w:pPr>
    <w:rPr>
      <w:sz w:val="22"/>
      <w:szCs w:val="22"/>
      <w:lang w:val="en-GB"/>
    </w:rPr>
  </w:style>
  <w:style w:type="paragraph" w:styleId="Date">
    <w:name w:val="Date"/>
    <w:basedOn w:val="Normal"/>
    <w:next w:val="Normal"/>
    <w:link w:val="DateChar"/>
    <w:uiPriority w:val="99"/>
    <w:semiHidden/>
    <w:unhideWhenUsed/>
    <w:rsid w:val="00DE4E41"/>
  </w:style>
  <w:style w:type="character" w:customStyle="1" w:styleId="DateChar">
    <w:name w:val="Date Char"/>
    <w:basedOn w:val="DefaultParagraphFont"/>
    <w:link w:val="Date"/>
    <w:uiPriority w:val="99"/>
    <w:semiHidden/>
    <w:rsid w:val="00DE4E41"/>
  </w:style>
  <w:style w:type="character" w:styleId="FootnoteReference">
    <w:name w:val="footnote reference"/>
    <w:basedOn w:val="DefaultParagraphFont"/>
    <w:uiPriority w:val="99"/>
    <w:semiHidden/>
    <w:unhideWhenUsed/>
    <w:rsid w:val="00D942F2"/>
    <w:rPr>
      <w:vertAlign w:val="superscript"/>
    </w:rPr>
  </w:style>
  <w:style w:type="paragraph" w:styleId="FootnoteText">
    <w:name w:val="footnote text"/>
    <w:basedOn w:val="Normal"/>
    <w:link w:val="FootnoteTextChar"/>
    <w:uiPriority w:val="99"/>
    <w:semiHidden/>
    <w:unhideWhenUsed/>
    <w:rsid w:val="003D1305"/>
    <w:rPr>
      <w:sz w:val="20"/>
      <w:szCs w:val="20"/>
    </w:rPr>
  </w:style>
  <w:style w:type="character" w:customStyle="1" w:styleId="FootnoteTextChar">
    <w:name w:val="Footnote Text Char"/>
    <w:basedOn w:val="DefaultParagraphFont"/>
    <w:link w:val="FootnoteText"/>
    <w:uiPriority w:val="99"/>
    <w:semiHidden/>
    <w:rsid w:val="003D1305"/>
    <w:rPr>
      <w:sz w:val="20"/>
      <w:szCs w:val="20"/>
    </w:rPr>
  </w:style>
  <w:style w:type="character" w:styleId="Strong">
    <w:name w:val="Strong"/>
    <w:basedOn w:val="DefaultParagraphFont"/>
    <w:uiPriority w:val="22"/>
    <w:qFormat/>
    <w:rsid w:val="001E5134"/>
    <w:rPr>
      <w:b/>
      <w:bCs/>
    </w:rPr>
  </w:style>
  <w:style w:type="paragraph" w:styleId="NoSpacing">
    <w:name w:val="No Spacing"/>
    <w:uiPriority w:val="1"/>
    <w:qFormat/>
    <w:rsid w:val="002B203C"/>
    <w:rPr>
      <w:kern w:val="2"/>
      <w:sz w:val="22"/>
      <w:szCs w:val="22"/>
      <w:lang w:val="en-AE"/>
      <w14:ligatures w14:val="standardContextual"/>
    </w:rPr>
  </w:style>
  <w:style w:type="paragraph" w:customStyle="1" w:styleId="Default">
    <w:name w:val="Default"/>
    <w:rsid w:val="00371972"/>
    <w:pPr>
      <w:autoSpaceDE w:val="0"/>
      <w:autoSpaceDN w:val="0"/>
      <w:adjustRightInd w:val="0"/>
    </w:pPr>
    <w:rPr>
      <w:rFonts w:ascii="Arial" w:hAnsi="Arial" w:cs="Arial"/>
      <w:color w:val="000000"/>
      <w14:ligatures w14:val="standardContextual"/>
    </w:rPr>
  </w:style>
  <w:style w:type="table" w:styleId="TableGrid">
    <w:name w:val="Table Grid"/>
    <w:basedOn w:val="TableNormal"/>
    <w:uiPriority w:val="39"/>
    <w:rsid w:val="00371972"/>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0E8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19129">
      <w:bodyDiv w:val="1"/>
      <w:marLeft w:val="0"/>
      <w:marRight w:val="0"/>
      <w:marTop w:val="0"/>
      <w:marBottom w:val="0"/>
      <w:divBdr>
        <w:top w:val="none" w:sz="0" w:space="0" w:color="auto"/>
        <w:left w:val="none" w:sz="0" w:space="0" w:color="auto"/>
        <w:bottom w:val="none" w:sz="0" w:space="0" w:color="auto"/>
        <w:right w:val="none" w:sz="0" w:space="0" w:color="auto"/>
      </w:divBdr>
    </w:div>
    <w:div w:id="1764716144">
      <w:bodyDiv w:val="1"/>
      <w:marLeft w:val="0"/>
      <w:marRight w:val="0"/>
      <w:marTop w:val="0"/>
      <w:marBottom w:val="0"/>
      <w:divBdr>
        <w:top w:val="none" w:sz="0" w:space="0" w:color="auto"/>
        <w:left w:val="none" w:sz="0" w:space="0" w:color="auto"/>
        <w:bottom w:val="none" w:sz="0" w:space="0" w:color="auto"/>
        <w:right w:val="none" w:sz="0" w:space="0" w:color="auto"/>
      </w:divBdr>
    </w:div>
    <w:div w:id="185310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cycenter.ma/publications/africa-s-mining-potential-trends-opportunities-challenges-and-strateg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onomist.com/special-report/2020/03/26/africas-population-will-double-by-20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5A7C9F4E2864BA44FAF7162D093D8" ma:contentTypeVersion="22" ma:contentTypeDescription="Create a new document." ma:contentTypeScope="" ma:versionID="0db29dfa820e12348dcc498fdcb43a9b">
  <xsd:schema xmlns:xsd="http://www.w3.org/2001/XMLSchema" xmlns:xs="http://www.w3.org/2001/XMLSchema" xmlns:p="http://schemas.microsoft.com/office/2006/metadata/properties" xmlns:ns2="d17d7345-026d-42e9-9c57-2ece1f126805" xmlns:ns3="5d69e730-5918-4cf9-aa17-7bb5e550f5d9" targetNamespace="http://schemas.microsoft.com/office/2006/metadata/properties" ma:root="true" ma:fieldsID="3f8b912e7715ad903a368535826e3a80" ns2:_="" ns3:_="">
    <xsd:import namespace="d17d7345-026d-42e9-9c57-2ece1f126805"/>
    <xsd:import namespace="5d69e730-5918-4cf9-aa17-7bb5e550f5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d7345-026d-42e9-9c57-2ece1f126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80df85e-2642-4c9a-bbfd-c0a2bcc2e4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69e730-5918-4cf9-aa17-7bb5e550f5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83782b9-abea-4b0d-805b-99d94db4da91}" ma:internalName="TaxCatchAll" ma:showField="CatchAllData" ma:web="5d69e730-5918-4cf9-aa17-7bb5e550f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69e730-5918-4cf9-aa17-7bb5e550f5d9">
      <UserInfo>
        <DisplayName>Surya Foollee</DisplayName>
        <AccountId>13</AccountId>
        <AccountType/>
      </UserInfo>
      <UserInfo>
        <DisplayName>Bryan Obeegadoo</DisplayName>
        <AccountId>385</AccountId>
        <AccountType/>
      </UserInfo>
      <UserInfo>
        <DisplayName>Sandrine Lauratet</DisplayName>
        <AccountId>15</AccountId>
        <AccountType/>
      </UserInfo>
    </SharedWithUsers>
    <lcf76f155ced4ddcb4097134ff3c332f xmlns="d17d7345-026d-42e9-9c57-2ece1f126805">
      <Terms xmlns="http://schemas.microsoft.com/office/infopath/2007/PartnerControls"/>
    </lcf76f155ced4ddcb4097134ff3c332f>
    <TaxCatchAll xmlns="5d69e730-5918-4cf9-aa17-7bb5e550f5d9" xsi:nil="true"/>
  </documentManagement>
</p:properties>
</file>

<file path=customXml/itemProps1.xml><?xml version="1.0" encoding="utf-8"?>
<ds:datastoreItem xmlns:ds="http://schemas.openxmlformats.org/officeDocument/2006/customXml" ds:itemID="{8FBA8230-B291-4656-A2F4-AC34D7CF3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d7345-026d-42e9-9c57-2ece1f126805"/>
    <ds:schemaRef ds:uri="5d69e730-5918-4cf9-aa17-7bb5e550f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3E7B3-F210-42A3-93FB-0E44F39784C2}">
  <ds:schemaRefs>
    <ds:schemaRef ds:uri="http://schemas.microsoft.com/sharepoint/v3/contenttype/forms"/>
  </ds:schemaRefs>
</ds:datastoreItem>
</file>

<file path=customXml/itemProps3.xml><?xml version="1.0" encoding="utf-8"?>
<ds:datastoreItem xmlns:ds="http://schemas.openxmlformats.org/officeDocument/2006/customXml" ds:itemID="{9C3C8FE7-0CE1-40CB-9387-CBB08A365027}">
  <ds:schemaRefs>
    <ds:schemaRef ds:uri="http://schemas.microsoft.com/office/2006/metadata/properties"/>
    <ds:schemaRef ds:uri="http://schemas.microsoft.com/office/infopath/2007/PartnerControls"/>
    <ds:schemaRef ds:uri="5d69e730-5918-4cf9-aa17-7bb5e550f5d9"/>
    <ds:schemaRef ds:uri="d17d7345-026d-42e9-9c57-2ece1f1268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5106</Characters>
  <Application>Microsoft Office Word</Application>
  <DocSecurity>4</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Cread Cread</dc:creator>
  <cp:keywords/>
  <dc:description/>
  <cp:lastModifiedBy>Surya Foollee</cp:lastModifiedBy>
  <cp:revision>2</cp:revision>
  <cp:lastPrinted>2023-06-22T18:11:00Z</cp:lastPrinted>
  <dcterms:created xsi:type="dcterms:W3CDTF">2024-05-17T07:31:00Z</dcterms:created>
  <dcterms:modified xsi:type="dcterms:W3CDTF">2024-05-17T07:31:00Z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0x0101007D95A7C9F4E2864BA44FAF7162D093D8</vt:lpwstr>
  </property>
  <property fmtid="{D5CDD505-2E9C-101B-9397-08002B2CF9AE}" pid="3" name="MediaServiceImageTags">
    <vt:lpwstr/>
  </property>
</Properties>
</file>