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3C97" w14:textId="76EB9272" w:rsidR="00F75343" w:rsidRDefault="00154EE8" w:rsidP="00C924AF">
      <w:pPr>
        <w:spacing w:after="240"/>
        <w:ind w:right="440"/>
        <w:jc w:val="right"/>
        <w:rPr>
          <w:rFonts w:asciiTheme="majorHAnsi" w:hAnsiTheme="majorHAnsi" w:cstheme="majorHAnsi"/>
          <w:color w:val="002060"/>
          <w:sz w:val="22"/>
          <w:szCs w:val="22"/>
          <w:lang w:val="en-US"/>
        </w:rPr>
      </w:pPr>
      <w:r>
        <w:rPr>
          <w:rFonts w:asciiTheme="majorHAnsi" w:hAnsiTheme="majorHAnsi" w:cstheme="majorHAnsi"/>
          <w:color w:val="002060"/>
          <w:sz w:val="22"/>
          <w:szCs w:val="22"/>
          <w:lang w:val="en-US"/>
        </w:rPr>
        <w:t>1</w:t>
      </w:r>
      <w:r w:rsidR="003212F3">
        <w:rPr>
          <w:rFonts w:asciiTheme="majorHAnsi" w:hAnsiTheme="majorHAnsi" w:cstheme="majorHAnsi"/>
          <w:color w:val="002060"/>
          <w:sz w:val="22"/>
          <w:szCs w:val="22"/>
          <w:lang w:val="en-US"/>
        </w:rPr>
        <w:t>7</w:t>
      </w:r>
      <w:r w:rsidR="002B203C">
        <w:rPr>
          <w:rFonts w:asciiTheme="majorHAnsi" w:hAnsiTheme="majorHAnsi" w:cstheme="majorHAnsi"/>
          <w:color w:val="002060"/>
          <w:sz w:val="22"/>
          <w:szCs w:val="22"/>
          <w:lang w:val="en-US"/>
        </w:rPr>
        <w:t xml:space="preserve"> </w:t>
      </w:r>
      <w:r w:rsidR="003212F3">
        <w:rPr>
          <w:rFonts w:asciiTheme="majorHAnsi" w:hAnsiTheme="majorHAnsi" w:cstheme="majorHAnsi"/>
          <w:color w:val="002060"/>
          <w:sz w:val="22"/>
          <w:szCs w:val="22"/>
          <w:lang w:val="en-US"/>
        </w:rPr>
        <w:t>April</w:t>
      </w:r>
      <w:r w:rsidR="00C73560" w:rsidRPr="00D05CEC">
        <w:rPr>
          <w:rFonts w:asciiTheme="majorHAnsi" w:hAnsiTheme="majorHAnsi" w:cstheme="majorHAnsi"/>
          <w:color w:val="002060"/>
          <w:sz w:val="22"/>
          <w:szCs w:val="22"/>
          <w:lang w:val="en-US"/>
        </w:rPr>
        <w:t xml:space="preserve"> 202</w:t>
      </w:r>
      <w:r w:rsidR="003212F3">
        <w:rPr>
          <w:rFonts w:asciiTheme="majorHAnsi" w:hAnsiTheme="majorHAnsi" w:cstheme="majorHAnsi"/>
          <w:color w:val="002060"/>
          <w:sz w:val="22"/>
          <w:szCs w:val="22"/>
          <w:lang w:val="en-US"/>
        </w:rPr>
        <w:t>4</w:t>
      </w:r>
    </w:p>
    <w:p w14:paraId="524A22EF" w14:textId="77777777" w:rsidR="00E06A02" w:rsidRDefault="00E06A02" w:rsidP="00E06A02">
      <w:pPr>
        <w:jc w:val="center"/>
        <w:rPr>
          <w:rFonts w:asciiTheme="majorHAnsi" w:hAnsiTheme="majorHAnsi" w:cstheme="majorHAnsi"/>
          <w:b/>
          <w:bCs/>
          <w:color w:val="002060"/>
          <w:sz w:val="22"/>
          <w:szCs w:val="22"/>
          <w:lang w:val="en-US"/>
        </w:rPr>
      </w:pPr>
    </w:p>
    <w:p w14:paraId="12CE72A9" w14:textId="77777777" w:rsidR="00E06A02" w:rsidRDefault="00E06A02" w:rsidP="00E06A02">
      <w:pPr>
        <w:jc w:val="center"/>
        <w:rPr>
          <w:rFonts w:asciiTheme="majorHAnsi" w:hAnsiTheme="majorHAnsi" w:cstheme="majorHAnsi"/>
          <w:b/>
          <w:bCs/>
          <w:color w:val="002060"/>
          <w:sz w:val="22"/>
          <w:szCs w:val="22"/>
          <w:lang w:val="en-US"/>
        </w:rPr>
      </w:pPr>
    </w:p>
    <w:p w14:paraId="0156B56C" w14:textId="2D70B0C4" w:rsidR="00E06FB4" w:rsidRPr="00AA2BFC" w:rsidRDefault="003212F3" w:rsidP="005E5055">
      <w:pPr>
        <w:pStyle w:val="NoSpacing"/>
        <w:jc w:val="center"/>
        <w:rPr>
          <w:rFonts w:asciiTheme="majorHAnsi" w:hAnsiTheme="majorHAnsi" w:cstheme="majorHAnsi"/>
          <w:b/>
          <w:bCs/>
          <w:color w:val="002060"/>
        </w:rPr>
      </w:pPr>
      <w:r>
        <w:rPr>
          <w:rFonts w:asciiTheme="majorHAnsi" w:hAnsiTheme="majorHAnsi" w:cstheme="majorHAnsi"/>
          <w:b/>
          <w:bCs/>
          <w:color w:val="002060"/>
          <w:lang w:val="en-US"/>
        </w:rPr>
        <w:t>Structuring your investment into Senegal</w:t>
      </w:r>
      <w:r w:rsidR="005E5055">
        <w:rPr>
          <w:rFonts w:asciiTheme="majorHAnsi" w:hAnsiTheme="majorHAnsi" w:cstheme="majorHAnsi"/>
          <w:b/>
          <w:bCs/>
          <w:color w:val="002060"/>
          <w:lang w:val="en-US"/>
        </w:rPr>
        <w:t xml:space="preserve"> via </w:t>
      </w:r>
      <w:r>
        <w:rPr>
          <w:rFonts w:asciiTheme="majorHAnsi" w:hAnsiTheme="majorHAnsi" w:cstheme="majorHAnsi"/>
          <w:b/>
          <w:bCs/>
          <w:color w:val="002060"/>
          <w:lang w:val="en-US"/>
        </w:rPr>
        <w:t>UAE</w:t>
      </w:r>
      <w:r w:rsidR="005E5055">
        <w:rPr>
          <w:rFonts w:asciiTheme="majorHAnsi" w:hAnsiTheme="majorHAnsi" w:cstheme="majorHAnsi"/>
          <w:b/>
          <w:bCs/>
          <w:color w:val="002060"/>
          <w:lang w:val="en-US"/>
        </w:rPr>
        <w:t xml:space="preserve"> (UAE-Senegal Tax Treaty)</w:t>
      </w:r>
    </w:p>
    <w:p w14:paraId="3152DC6B" w14:textId="77777777" w:rsidR="001666FD" w:rsidRDefault="001666FD" w:rsidP="00094C87">
      <w:pPr>
        <w:rPr>
          <w:rFonts w:asciiTheme="majorHAnsi" w:hAnsiTheme="majorHAnsi" w:cstheme="majorHAnsi"/>
          <w:b/>
          <w:bCs/>
          <w:color w:val="002060"/>
          <w:sz w:val="22"/>
          <w:szCs w:val="22"/>
        </w:rPr>
      </w:pPr>
    </w:p>
    <w:p w14:paraId="04C145F1" w14:textId="77777777" w:rsidR="00DF042B" w:rsidRPr="007315E1" w:rsidRDefault="00DF042B" w:rsidP="007315E1">
      <w:pPr>
        <w:jc w:val="both"/>
        <w:rPr>
          <w:rFonts w:asciiTheme="majorHAnsi" w:hAnsiTheme="majorHAnsi" w:cstheme="majorHAnsi"/>
          <w:color w:val="002060"/>
          <w:sz w:val="22"/>
          <w:szCs w:val="22"/>
          <w:lang w:val="en-US"/>
        </w:rPr>
      </w:pPr>
    </w:p>
    <w:p w14:paraId="6FCC0360" w14:textId="5B8CD0A4" w:rsidR="003212F3" w:rsidRPr="003212F3" w:rsidRDefault="003212F3" w:rsidP="003212F3">
      <w:pPr>
        <w:pStyle w:val="NoSpacing"/>
        <w:jc w:val="both"/>
        <w:rPr>
          <w:rFonts w:asciiTheme="majorHAnsi" w:hAnsiTheme="majorHAnsi" w:cstheme="majorHAnsi"/>
          <w:color w:val="002060"/>
          <w:kern w:val="0"/>
          <w:lang w:val="en-US"/>
          <w14:ligatures w14:val="none"/>
        </w:rPr>
      </w:pPr>
      <w:r w:rsidRPr="003212F3">
        <w:rPr>
          <w:rFonts w:asciiTheme="majorHAnsi" w:hAnsiTheme="majorHAnsi" w:cstheme="majorHAnsi"/>
          <w:color w:val="002060"/>
          <w:kern w:val="0"/>
          <w:lang w:val="en-US"/>
          <w14:ligatures w14:val="none"/>
        </w:rPr>
        <w:t>In today's global economy</w:t>
      </w:r>
      <w:r w:rsidR="00E4531D">
        <w:rPr>
          <w:rFonts w:asciiTheme="majorHAnsi" w:hAnsiTheme="majorHAnsi" w:cstheme="majorHAnsi"/>
          <w:color w:val="002060"/>
          <w:kern w:val="0"/>
          <w:lang w:val="en-US"/>
          <w14:ligatures w14:val="none"/>
        </w:rPr>
        <w:t>,</w:t>
      </w:r>
      <w:r w:rsidRPr="003212F3">
        <w:rPr>
          <w:rFonts w:asciiTheme="majorHAnsi" w:hAnsiTheme="majorHAnsi" w:cstheme="majorHAnsi"/>
          <w:color w:val="002060"/>
          <w:kern w:val="0"/>
          <w:lang w:val="en-US"/>
          <w14:ligatures w14:val="none"/>
        </w:rPr>
        <w:t xml:space="preserve"> </w:t>
      </w:r>
      <w:proofErr w:type="gramStart"/>
      <w:r w:rsidRPr="003212F3">
        <w:rPr>
          <w:rFonts w:asciiTheme="majorHAnsi" w:hAnsiTheme="majorHAnsi" w:cstheme="majorHAnsi"/>
          <w:color w:val="002060"/>
          <w:kern w:val="0"/>
          <w:lang w:val="en-US"/>
          <w14:ligatures w14:val="none"/>
        </w:rPr>
        <w:t>where</w:t>
      </w:r>
      <w:proofErr w:type="gramEnd"/>
      <w:r w:rsidRPr="003212F3">
        <w:rPr>
          <w:rFonts w:asciiTheme="majorHAnsi" w:hAnsiTheme="majorHAnsi" w:cstheme="majorHAnsi"/>
          <w:color w:val="002060"/>
          <w:kern w:val="0"/>
          <w:lang w:val="en-US"/>
          <w14:ligatures w14:val="none"/>
        </w:rPr>
        <w:t xml:space="preserve"> opportunities for investment span continents, navigating tax liabilities across borders can be a daunting task for investors. However, the tax treaty between Senegal and the United Arab Emirates (UAE), effective 2 July 2017, offers clarity and certainty for those considering or already engaged in investments between these two dynamic nations.</w:t>
      </w:r>
    </w:p>
    <w:p w14:paraId="27292061" w14:textId="77777777" w:rsidR="003212F3" w:rsidRPr="003212F3" w:rsidRDefault="003212F3" w:rsidP="002B203C">
      <w:pPr>
        <w:jc w:val="both"/>
        <w:rPr>
          <w:rFonts w:asciiTheme="majorHAnsi" w:hAnsiTheme="majorHAnsi" w:cstheme="majorHAnsi"/>
          <w:color w:val="002060"/>
          <w:sz w:val="22"/>
          <w:szCs w:val="22"/>
          <w:lang w:val="en-AE"/>
        </w:rPr>
      </w:pPr>
    </w:p>
    <w:p w14:paraId="1DD5A581" w14:textId="77777777" w:rsidR="002B203C" w:rsidRDefault="002B203C" w:rsidP="000653E7">
      <w:pPr>
        <w:rPr>
          <w:rFonts w:asciiTheme="majorHAnsi" w:hAnsiTheme="majorHAnsi" w:cstheme="majorHAnsi"/>
          <w:b/>
          <w:bCs/>
          <w:color w:val="002060"/>
          <w:sz w:val="22"/>
          <w:szCs w:val="22"/>
          <w:lang w:val="en-US"/>
        </w:rPr>
      </w:pPr>
    </w:p>
    <w:p w14:paraId="38578149" w14:textId="746112EB" w:rsidR="002B203C" w:rsidRDefault="003212F3" w:rsidP="002B203C">
      <w:pPr>
        <w:jc w:val="both"/>
        <w:rPr>
          <w:rFonts w:asciiTheme="majorHAnsi" w:hAnsiTheme="majorHAnsi" w:cstheme="majorHAnsi"/>
          <w:color w:val="002060"/>
          <w:sz w:val="22"/>
          <w:szCs w:val="22"/>
          <w:lang w:val="en-US"/>
        </w:rPr>
      </w:pPr>
      <w:r>
        <w:rPr>
          <w:rFonts w:asciiTheme="majorHAnsi" w:hAnsiTheme="majorHAnsi" w:cstheme="majorHAnsi"/>
          <w:b/>
          <w:bCs/>
          <w:color w:val="002060"/>
          <w:sz w:val="22"/>
          <w:szCs w:val="22"/>
          <w:lang w:val="en-US"/>
        </w:rPr>
        <w:t>Taxes Covered</w:t>
      </w:r>
    </w:p>
    <w:p w14:paraId="4524511F" w14:textId="77777777" w:rsidR="003212F3" w:rsidRPr="003212F3" w:rsidRDefault="003212F3" w:rsidP="003212F3">
      <w:pPr>
        <w:jc w:val="both"/>
        <w:rPr>
          <w:rFonts w:asciiTheme="majorHAnsi" w:hAnsiTheme="majorHAnsi" w:cstheme="majorHAnsi"/>
          <w:color w:val="002060"/>
          <w:sz w:val="22"/>
          <w:szCs w:val="22"/>
          <w:lang w:val="en-US"/>
        </w:rPr>
      </w:pPr>
      <w:r w:rsidRPr="003212F3">
        <w:rPr>
          <w:rFonts w:asciiTheme="majorHAnsi" w:hAnsiTheme="majorHAnsi" w:cstheme="majorHAnsi"/>
          <w:color w:val="002060"/>
          <w:sz w:val="22"/>
          <w:szCs w:val="22"/>
          <w:lang w:val="en-US"/>
        </w:rPr>
        <w:t>One of the pivotal aspects of this treaty is its coverage of various forms of income, ensuring that investors have a clear understanding of their tax obligations. From corporate taxes to capital gains on both developed and undeveloped land, the treaty leaves no ambiguity, offering investors peace of mind and a solid foundation for their financial planning.</w:t>
      </w:r>
    </w:p>
    <w:p w14:paraId="1007AAE2" w14:textId="77777777" w:rsidR="002B203C" w:rsidRPr="002B203C" w:rsidRDefault="002B203C" w:rsidP="002B203C">
      <w:pPr>
        <w:jc w:val="both"/>
        <w:rPr>
          <w:rFonts w:asciiTheme="majorHAnsi" w:hAnsiTheme="majorHAnsi" w:cstheme="majorHAnsi"/>
          <w:color w:val="002060"/>
          <w:sz w:val="22"/>
          <w:szCs w:val="22"/>
          <w:lang w:val="en-US"/>
        </w:rPr>
      </w:pPr>
    </w:p>
    <w:p w14:paraId="1BD93B95" w14:textId="7EA07FF0" w:rsidR="003212F3" w:rsidRDefault="003212F3" w:rsidP="002B203C">
      <w:pPr>
        <w:jc w:val="both"/>
        <w:rPr>
          <w:rFonts w:asciiTheme="majorHAnsi" w:hAnsiTheme="majorHAnsi" w:cstheme="majorHAnsi"/>
          <w:color w:val="002060"/>
          <w:sz w:val="22"/>
          <w:szCs w:val="22"/>
          <w:lang w:val="en-US"/>
        </w:rPr>
      </w:pPr>
      <w:r>
        <w:rPr>
          <w:rFonts w:asciiTheme="majorHAnsi" w:hAnsiTheme="majorHAnsi" w:cstheme="majorHAnsi"/>
          <w:b/>
          <w:bCs/>
          <w:color w:val="002060"/>
          <w:sz w:val="22"/>
          <w:szCs w:val="22"/>
          <w:lang w:val="en-US"/>
        </w:rPr>
        <w:t>Service Permanent Establishment</w:t>
      </w:r>
    </w:p>
    <w:p w14:paraId="49A2EDBC" w14:textId="45054590" w:rsidR="003212F3" w:rsidRPr="003212F3" w:rsidRDefault="003212F3" w:rsidP="002B203C">
      <w:pPr>
        <w:jc w:val="both"/>
        <w:rPr>
          <w:rFonts w:asciiTheme="majorHAnsi" w:hAnsiTheme="majorHAnsi" w:cstheme="majorHAnsi"/>
          <w:color w:val="002060"/>
          <w:sz w:val="22"/>
          <w:szCs w:val="22"/>
          <w:lang w:val="en-US"/>
        </w:rPr>
      </w:pPr>
      <w:r w:rsidRPr="003212F3">
        <w:rPr>
          <w:rFonts w:asciiTheme="majorHAnsi" w:hAnsiTheme="majorHAnsi" w:cstheme="majorHAnsi"/>
          <w:color w:val="002060"/>
          <w:sz w:val="22"/>
          <w:szCs w:val="22"/>
          <w:lang w:val="en-US"/>
        </w:rPr>
        <w:t>For those engaged in providing services across borders, the treaty's provision on Service Permanent Establishment (PE) offers clarity on when a business presence triggers tax obligations. A permanent establishment (PE) is established when services are provided in a Contracting State for a period exceeding six months. This provision adds clarity to the determination of tax liabilities in cases involving the provision of services across borders.</w:t>
      </w:r>
    </w:p>
    <w:p w14:paraId="7AF750F7" w14:textId="77777777" w:rsidR="002B203C" w:rsidRPr="002B203C" w:rsidRDefault="002B203C" w:rsidP="002B203C">
      <w:pPr>
        <w:jc w:val="both"/>
        <w:rPr>
          <w:rFonts w:asciiTheme="majorHAnsi" w:hAnsiTheme="majorHAnsi" w:cstheme="majorHAnsi"/>
          <w:color w:val="002060"/>
          <w:sz w:val="22"/>
          <w:szCs w:val="22"/>
          <w:lang w:val="en-US"/>
        </w:rPr>
      </w:pPr>
    </w:p>
    <w:p w14:paraId="14B547A9" w14:textId="77777777" w:rsidR="003212F3" w:rsidRDefault="003212F3" w:rsidP="002B203C">
      <w:pPr>
        <w:jc w:val="both"/>
        <w:rPr>
          <w:rFonts w:asciiTheme="majorHAnsi" w:hAnsiTheme="majorHAnsi" w:cstheme="majorHAnsi"/>
          <w:b/>
          <w:bCs/>
          <w:color w:val="002060"/>
          <w:sz w:val="22"/>
          <w:szCs w:val="22"/>
          <w:lang w:val="en-US"/>
        </w:rPr>
      </w:pPr>
      <w:r>
        <w:rPr>
          <w:rFonts w:asciiTheme="majorHAnsi" w:hAnsiTheme="majorHAnsi" w:cstheme="majorHAnsi"/>
          <w:b/>
          <w:bCs/>
          <w:color w:val="002060"/>
          <w:sz w:val="22"/>
          <w:szCs w:val="22"/>
          <w:lang w:val="en-US"/>
        </w:rPr>
        <w:t>Withholding Tax</w:t>
      </w:r>
    </w:p>
    <w:p w14:paraId="0B7D68A2" w14:textId="77777777" w:rsidR="003212F3" w:rsidRDefault="003212F3" w:rsidP="003212F3">
      <w:pPr>
        <w:jc w:val="both"/>
        <w:rPr>
          <w:rFonts w:asciiTheme="majorHAnsi" w:hAnsiTheme="majorHAnsi" w:cstheme="majorHAnsi"/>
          <w:color w:val="002060"/>
          <w:sz w:val="22"/>
          <w:szCs w:val="22"/>
          <w:lang w:val="en-US"/>
        </w:rPr>
      </w:pPr>
      <w:r w:rsidRPr="003212F3">
        <w:rPr>
          <w:rFonts w:asciiTheme="majorHAnsi" w:hAnsiTheme="majorHAnsi" w:cstheme="majorHAnsi"/>
          <w:color w:val="002060"/>
          <w:sz w:val="22"/>
          <w:szCs w:val="22"/>
          <w:lang w:val="en-US"/>
        </w:rPr>
        <w:t>A crucial aspect for investors to consider is the withholding tax rates outlined in the treaty. Below is a table showing the withholding tax rates applicable in Senegal under the treaty:</w:t>
      </w:r>
    </w:p>
    <w:p w14:paraId="29DE6979" w14:textId="77777777" w:rsidR="003212F3" w:rsidRPr="003212F3" w:rsidRDefault="003212F3" w:rsidP="003212F3">
      <w:pPr>
        <w:jc w:val="both"/>
        <w:rPr>
          <w:rFonts w:asciiTheme="majorHAnsi" w:hAnsiTheme="majorHAnsi" w:cstheme="majorHAnsi"/>
          <w:color w:val="002060"/>
          <w:sz w:val="22"/>
          <w:szCs w:val="22"/>
          <w:lang w:val="en-US"/>
        </w:rPr>
      </w:pPr>
    </w:p>
    <w:tbl>
      <w:tblPr>
        <w:tblStyle w:val="TableGrid"/>
        <w:tblW w:w="0" w:type="auto"/>
        <w:tblLook w:val="04A0" w:firstRow="1" w:lastRow="0" w:firstColumn="1" w:lastColumn="0" w:noHBand="0" w:noVBand="1"/>
      </w:tblPr>
      <w:tblGrid>
        <w:gridCol w:w="1615"/>
        <w:gridCol w:w="4140"/>
        <w:gridCol w:w="3261"/>
      </w:tblGrid>
      <w:tr w:rsidR="003212F3" w:rsidRPr="003212F3" w14:paraId="6A2AC870" w14:textId="77777777" w:rsidTr="00942B2D">
        <w:tc>
          <w:tcPr>
            <w:tcW w:w="1615" w:type="dxa"/>
            <w:shd w:val="clear" w:color="auto" w:fill="BFBFBF" w:themeFill="background1" w:themeFillShade="BF"/>
          </w:tcPr>
          <w:p w14:paraId="6523BCDB" w14:textId="77777777" w:rsidR="003212F3" w:rsidRPr="003212F3" w:rsidRDefault="003212F3" w:rsidP="003212F3">
            <w:pPr>
              <w:rPr>
                <w:rFonts w:asciiTheme="majorHAnsi" w:hAnsiTheme="majorHAnsi" w:cstheme="majorHAnsi"/>
                <w:b/>
                <w:bCs/>
                <w:color w:val="002060"/>
                <w:kern w:val="0"/>
                <w:lang w:val="en-US"/>
                <w14:ligatures w14:val="none"/>
              </w:rPr>
            </w:pPr>
            <w:r w:rsidRPr="003212F3">
              <w:rPr>
                <w:rFonts w:asciiTheme="majorHAnsi" w:hAnsiTheme="majorHAnsi" w:cstheme="majorHAnsi"/>
                <w:b/>
                <w:bCs/>
                <w:color w:val="002060"/>
                <w:kern w:val="0"/>
                <w:lang w:val="en-US"/>
                <w14:ligatures w14:val="none"/>
              </w:rPr>
              <w:t>Income</w:t>
            </w:r>
          </w:p>
        </w:tc>
        <w:tc>
          <w:tcPr>
            <w:tcW w:w="4140" w:type="dxa"/>
            <w:shd w:val="clear" w:color="auto" w:fill="BFBFBF" w:themeFill="background1" w:themeFillShade="BF"/>
          </w:tcPr>
          <w:p w14:paraId="27110BA1" w14:textId="77777777" w:rsidR="003212F3" w:rsidRPr="003212F3" w:rsidRDefault="003212F3" w:rsidP="003212F3">
            <w:pPr>
              <w:jc w:val="center"/>
              <w:rPr>
                <w:rFonts w:asciiTheme="majorHAnsi" w:hAnsiTheme="majorHAnsi" w:cstheme="majorHAnsi"/>
                <w:b/>
                <w:bCs/>
                <w:color w:val="002060"/>
                <w:kern w:val="0"/>
                <w:lang w:val="en-US"/>
                <w14:ligatures w14:val="none"/>
              </w:rPr>
            </w:pPr>
            <w:r w:rsidRPr="003212F3">
              <w:rPr>
                <w:rFonts w:asciiTheme="majorHAnsi" w:hAnsiTheme="majorHAnsi" w:cstheme="majorHAnsi"/>
                <w:b/>
                <w:bCs/>
                <w:color w:val="002060"/>
                <w:kern w:val="0"/>
                <w:lang w:val="en-US"/>
                <w14:ligatures w14:val="none"/>
              </w:rPr>
              <w:t>WHT as per DTAA with UAE</w:t>
            </w:r>
          </w:p>
        </w:tc>
        <w:tc>
          <w:tcPr>
            <w:tcW w:w="3261" w:type="dxa"/>
            <w:shd w:val="clear" w:color="auto" w:fill="BFBFBF" w:themeFill="background1" w:themeFillShade="BF"/>
          </w:tcPr>
          <w:p w14:paraId="53F7F2CF" w14:textId="77777777" w:rsidR="003212F3" w:rsidRPr="003212F3" w:rsidRDefault="003212F3" w:rsidP="003212F3">
            <w:pPr>
              <w:jc w:val="center"/>
              <w:rPr>
                <w:rFonts w:asciiTheme="majorHAnsi" w:hAnsiTheme="majorHAnsi" w:cstheme="majorHAnsi"/>
                <w:b/>
                <w:bCs/>
                <w:color w:val="002060"/>
                <w:kern w:val="0"/>
                <w:lang w:val="en-US"/>
                <w14:ligatures w14:val="none"/>
              </w:rPr>
            </w:pPr>
            <w:r w:rsidRPr="003212F3">
              <w:rPr>
                <w:rFonts w:asciiTheme="majorHAnsi" w:hAnsiTheme="majorHAnsi" w:cstheme="majorHAnsi"/>
                <w:b/>
                <w:bCs/>
                <w:color w:val="002060"/>
                <w:kern w:val="0"/>
                <w:lang w:val="en-US"/>
                <w14:ligatures w14:val="none"/>
              </w:rPr>
              <w:t>Normal WHT rate (non-treaty)</w:t>
            </w:r>
          </w:p>
        </w:tc>
      </w:tr>
      <w:tr w:rsidR="003212F3" w:rsidRPr="003212F3" w14:paraId="655EBAE8" w14:textId="77777777" w:rsidTr="00942B2D">
        <w:tc>
          <w:tcPr>
            <w:tcW w:w="1615" w:type="dxa"/>
          </w:tcPr>
          <w:p w14:paraId="06585758" w14:textId="77777777" w:rsidR="003212F3" w:rsidRPr="003212F3" w:rsidRDefault="003212F3" w:rsidP="003212F3">
            <w:pPr>
              <w:jc w:val="both"/>
              <w:rPr>
                <w:rFonts w:asciiTheme="majorHAnsi" w:hAnsiTheme="majorHAnsi" w:cstheme="majorHAnsi"/>
                <w:color w:val="002060"/>
                <w:kern w:val="0"/>
                <w:lang w:val="en-US"/>
                <w14:ligatures w14:val="none"/>
              </w:rPr>
            </w:pPr>
            <w:r w:rsidRPr="003212F3">
              <w:rPr>
                <w:rFonts w:asciiTheme="majorHAnsi" w:hAnsiTheme="majorHAnsi" w:cstheme="majorHAnsi"/>
                <w:color w:val="002060"/>
                <w:kern w:val="0"/>
                <w:lang w:val="en-US"/>
                <w14:ligatures w14:val="none"/>
              </w:rPr>
              <w:t>Dividends</w:t>
            </w:r>
          </w:p>
        </w:tc>
        <w:tc>
          <w:tcPr>
            <w:tcW w:w="4140" w:type="dxa"/>
          </w:tcPr>
          <w:p w14:paraId="061B789B" w14:textId="77777777" w:rsidR="003212F3" w:rsidRPr="003212F3" w:rsidRDefault="003212F3" w:rsidP="003212F3">
            <w:pPr>
              <w:jc w:val="center"/>
              <w:rPr>
                <w:rFonts w:asciiTheme="majorHAnsi" w:hAnsiTheme="majorHAnsi" w:cstheme="majorHAnsi"/>
                <w:color w:val="002060"/>
                <w:kern w:val="0"/>
                <w:lang w:val="en-US"/>
                <w14:ligatures w14:val="none"/>
              </w:rPr>
            </w:pPr>
            <w:r w:rsidRPr="003212F3">
              <w:rPr>
                <w:rFonts w:asciiTheme="majorHAnsi" w:hAnsiTheme="majorHAnsi" w:cstheme="majorHAnsi"/>
                <w:color w:val="002060"/>
                <w:kern w:val="0"/>
                <w:lang w:val="en-US"/>
                <w14:ligatures w14:val="none"/>
              </w:rPr>
              <w:t>5%</w:t>
            </w:r>
          </w:p>
        </w:tc>
        <w:tc>
          <w:tcPr>
            <w:tcW w:w="3261" w:type="dxa"/>
          </w:tcPr>
          <w:p w14:paraId="66EE772C" w14:textId="77777777" w:rsidR="003212F3" w:rsidRPr="003212F3" w:rsidRDefault="003212F3" w:rsidP="003212F3">
            <w:pPr>
              <w:jc w:val="center"/>
              <w:rPr>
                <w:rFonts w:asciiTheme="majorHAnsi" w:hAnsiTheme="majorHAnsi" w:cstheme="majorHAnsi"/>
                <w:color w:val="002060"/>
                <w:kern w:val="0"/>
                <w:lang w:val="en-US"/>
                <w14:ligatures w14:val="none"/>
              </w:rPr>
            </w:pPr>
            <w:r w:rsidRPr="003212F3">
              <w:rPr>
                <w:rFonts w:asciiTheme="majorHAnsi" w:hAnsiTheme="majorHAnsi" w:cstheme="majorHAnsi"/>
                <w:color w:val="002060"/>
                <w:kern w:val="0"/>
                <w:lang w:val="en-US"/>
                <w14:ligatures w14:val="none"/>
              </w:rPr>
              <w:t>10%</w:t>
            </w:r>
          </w:p>
        </w:tc>
      </w:tr>
      <w:tr w:rsidR="003212F3" w:rsidRPr="003212F3" w14:paraId="24295534" w14:textId="77777777" w:rsidTr="00942B2D">
        <w:tc>
          <w:tcPr>
            <w:tcW w:w="1615" w:type="dxa"/>
          </w:tcPr>
          <w:p w14:paraId="7E355402" w14:textId="77777777" w:rsidR="003212F3" w:rsidRPr="003212F3" w:rsidRDefault="003212F3" w:rsidP="003212F3">
            <w:pPr>
              <w:jc w:val="both"/>
              <w:rPr>
                <w:rFonts w:asciiTheme="majorHAnsi" w:hAnsiTheme="majorHAnsi" w:cstheme="majorHAnsi"/>
                <w:color w:val="002060"/>
                <w:kern w:val="0"/>
                <w:lang w:val="en-US"/>
                <w14:ligatures w14:val="none"/>
              </w:rPr>
            </w:pPr>
            <w:r w:rsidRPr="003212F3">
              <w:rPr>
                <w:rFonts w:asciiTheme="majorHAnsi" w:hAnsiTheme="majorHAnsi" w:cstheme="majorHAnsi"/>
                <w:color w:val="002060"/>
                <w:kern w:val="0"/>
                <w:lang w:val="en-US"/>
                <w14:ligatures w14:val="none"/>
              </w:rPr>
              <w:t>Interest</w:t>
            </w:r>
          </w:p>
        </w:tc>
        <w:tc>
          <w:tcPr>
            <w:tcW w:w="4140" w:type="dxa"/>
          </w:tcPr>
          <w:p w14:paraId="5EE4C8FC" w14:textId="77777777" w:rsidR="003212F3" w:rsidRPr="003212F3" w:rsidRDefault="003212F3" w:rsidP="003212F3">
            <w:pPr>
              <w:jc w:val="center"/>
              <w:rPr>
                <w:rFonts w:asciiTheme="majorHAnsi" w:hAnsiTheme="majorHAnsi" w:cstheme="majorHAnsi"/>
                <w:color w:val="002060"/>
                <w:kern w:val="0"/>
                <w:lang w:val="en-US"/>
                <w14:ligatures w14:val="none"/>
              </w:rPr>
            </w:pPr>
            <w:r w:rsidRPr="003212F3">
              <w:rPr>
                <w:rFonts w:asciiTheme="majorHAnsi" w:hAnsiTheme="majorHAnsi" w:cstheme="majorHAnsi"/>
                <w:color w:val="002060"/>
                <w:kern w:val="0"/>
                <w:lang w:val="en-US"/>
                <w14:ligatures w14:val="none"/>
              </w:rPr>
              <w:t>5%</w:t>
            </w:r>
          </w:p>
        </w:tc>
        <w:tc>
          <w:tcPr>
            <w:tcW w:w="3261" w:type="dxa"/>
          </w:tcPr>
          <w:p w14:paraId="09FF59EB" w14:textId="77777777" w:rsidR="003212F3" w:rsidRPr="003212F3" w:rsidRDefault="003212F3" w:rsidP="003212F3">
            <w:pPr>
              <w:jc w:val="center"/>
              <w:rPr>
                <w:rFonts w:asciiTheme="majorHAnsi" w:hAnsiTheme="majorHAnsi" w:cstheme="majorHAnsi"/>
                <w:color w:val="002060"/>
                <w:kern w:val="0"/>
                <w:lang w:val="en-US"/>
                <w14:ligatures w14:val="none"/>
              </w:rPr>
            </w:pPr>
            <w:r w:rsidRPr="003212F3">
              <w:rPr>
                <w:rFonts w:asciiTheme="majorHAnsi" w:hAnsiTheme="majorHAnsi" w:cstheme="majorHAnsi"/>
                <w:color w:val="002060"/>
                <w:kern w:val="0"/>
                <w:lang w:val="en-US"/>
                <w14:ligatures w14:val="none"/>
              </w:rPr>
              <w:t>16%</w:t>
            </w:r>
          </w:p>
        </w:tc>
      </w:tr>
      <w:tr w:rsidR="003212F3" w:rsidRPr="003212F3" w14:paraId="5F618205" w14:textId="77777777" w:rsidTr="00942B2D">
        <w:tc>
          <w:tcPr>
            <w:tcW w:w="1615" w:type="dxa"/>
          </w:tcPr>
          <w:p w14:paraId="60B674A5" w14:textId="77777777" w:rsidR="003212F3" w:rsidRPr="003212F3" w:rsidRDefault="003212F3" w:rsidP="003212F3">
            <w:pPr>
              <w:jc w:val="both"/>
              <w:rPr>
                <w:rFonts w:asciiTheme="majorHAnsi" w:hAnsiTheme="majorHAnsi" w:cstheme="majorHAnsi"/>
                <w:color w:val="002060"/>
                <w:kern w:val="0"/>
                <w:lang w:val="en-US"/>
                <w14:ligatures w14:val="none"/>
              </w:rPr>
            </w:pPr>
            <w:r w:rsidRPr="003212F3">
              <w:rPr>
                <w:rFonts w:asciiTheme="majorHAnsi" w:hAnsiTheme="majorHAnsi" w:cstheme="majorHAnsi"/>
                <w:color w:val="002060"/>
                <w:kern w:val="0"/>
                <w:lang w:val="en-US"/>
                <w14:ligatures w14:val="none"/>
              </w:rPr>
              <w:t>Royalties</w:t>
            </w:r>
          </w:p>
        </w:tc>
        <w:tc>
          <w:tcPr>
            <w:tcW w:w="4140" w:type="dxa"/>
          </w:tcPr>
          <w:p w14:paraId="52A5C617" w14:textId="77777777" w:rsidR="003212F3" w:rsidRPr="003212F3" w:rsidRDefault="003212F3" w:rsidP="003212F3">
            <w:pPr>
              <w:jc w:val="center"/>
              <w:rPr>
                <w:rFonts w:asciiTheme="majorHAnsi" w:hAnsiTheme="majorHAnsi" w:cstheme="majorHAnsi"/>
                <w:color w:val="002060"/>
                <w:kern w:val="0"/>
                <w:lang w:val="en-US"/>
                <w14:ligatures w14:val="none"/>
              </w:rPr>
            </w:pPr>
            <w:r w:rsidRPr="003212F3">
              <w:rPr>
                <w:rFonts w:asciiTheme="majorHAnsi" w:hAnsiTheme="majorHAnsi" w:cstheme="majorHAnsi"/>
                <w:color w:val="002060"/>
                <w:kern w:val="0"/>
                <w:lang w:val="en-US"/>
                <w14:ligatures w14:val="none"/>
              </w:rPr>
              <w:t>5%</w:t>
            </w:r>
          </w:p>
        </w:tc>
        <w:tc>
          <w:tcPr>
            <w:tcW w:w="3261" w:type="dxa"/>
          </w:tcPr>
          <w:p w14:paraId="3CAD4CA1" w14:textId="77777777" w:rsidR="003212F3" w:rsidRPr="003212F3" w:rsidRDefault="003212F3" w:rsidP="003212F3">
            <w:pPr>
              <w:jc w:val="center"/>
              <w:rPr>
                <w:rFonts w:asciiTheme="majorHAnsi" w:hAnsiTheme="majorHAnsi" w:cstheme="majorHAnsi"/>
                <w:color w:val="002060"/>
                <w:kern w:val="0"/>
                <w:lang w:val="en-US"/>
                <w14:ligatures w14:val="none"/>
              </w:rPr>
            </w:pPr>
            <w:r w:rsidRPr="003212F3">
              <w:rPr>
                <w:rFonts w:asciiTheme="majorHAnsi" w:hAnsiTheme="majorHAnsi" w:cstheme="majorHAnsi"/>
                <w:color w:val="002060"/>
                <w:kern w:val="0"/>
                <w:lang w:val="en-US"/>
                <w14:ligatures w14:val="none"/>
              </w:rPr>
              <w:t>20%</w:t>
            </w:r>
          </w:p>
        </w:tc>
      </w:tr>
    </w:tbl>
    <w:p w14:paraId="3BF17F3A" w14:textId="77777777" w:rsidR="002B203C" w:rsidRPr="002B203C" w:rsidRDefault="002B203C" w:rsidP="002B203C">
      <w:pPr>
        <w:jc w:val="both"/>
        <w:rPr>
          <w:rFonts w:asciiTheme="majorHAnsi" w:hAnsiTheme="majorHAnsi" w:cstheme="majorHAnsi"/>
          <w:color w:val="002060"/>
          <w:sz w:val="22"/>
          <w:szCs w:val="22"/>
          <w:lang w:val="en-US"/>
        </w:rPr>
      </w:pPr>
    </w:p>
    <w:p w14:paraId="6EB2A413" w14:textId="77777777" w:rsidR="003212F3" w:rsidRDefault="002B203C" w:rsidP="002B203C">
      <w:pPr>
        <w:jc w:val="both"/>
        <w:rPr>
          <w:rFonts w:asciiTheme="majorHAnsi" w:hAnsiTheme="majorHAnsi" w:cstheme="majorHAnsi"/>
          <w:b/>
          <w:bCs/>
          <w:color w:val="002060"/>
          <w:sz w:val="22"/>
          <w:szCs w:val="22"/>
          <w:lang w:val="en-US"/>
        </w:rPr>
      </w:pPr>
      <w:r w:rsidRPr="002B203C">
        <w:rPr>
          <w:rFonts w:asciiTheme="majorHAnsi" w:hAnsiTheme="majorHAnsi" w:cstheme="majorHAnsi"/>
          <w:b/>
          <w:bCs/>
          <w:color w:val="002060"/>
          <w:sz w:val="22"/>
          <w:szCs w:val="22"/>
          <w:lang w:val="en-US"/>
        </w:rPr>
        <w:t>D</w:t>
      </w:r>
      <w:r w:rsidR="003212F3">
        <w:rPr>
          <w:rFonts w:asciiTheme="majorHAnsi" w:hAnsiTheme="majorHAnsi" w:cstheme="majorHAnsi"/>
          <w:b/>
          <w:bCs/>
          <w:color w:val="002060"/>
          <w:sz w:val="22"/>
          <w:szCs w:val="22"/>
          <w:lang w:val="en-US"/>
        </w:rPr>
        <w:t>ouble Taxation Relief</w:t>
      </w:r>
    </w:p>
    <w:p w14:paraId="7B378E0F" w14:textId="77777777" w:rsidR="003212F3" w:rsidRPr="003212F3" w:rsidRDefault="003212F3" w:rsidP="003212F3">
      <w:pPr>
        <w:jc w:val="both"/>
        <w:rPr>
          <w:rFonts w:asciiTheme="majorHAnsi" w:hAnsiTheme="majorHAnsi" w:cstheme="majorHAnsi"/>
          <w:color w:val="002060"/>
          <w:sz w:val="22"/>
          <w:szCs w:val="22"/>
          <w:lang w:val="en-US"/>
        </w:rPr>
      </w:pPr>
      <w:r w:rsidRPr="003212F3">
        <w:rPr>
          <w:rFonts w:asciiTheme="majorHAnsi" w:hAnsiTheme="majorHAnsi" w:cstheme="majorHAnsi"/>
          <w:color w:val="002060"/>
          <w:sz w:val="22"/>
          <w:szCs w:val="22"/>
          <w:lang w:val="en-US"/>
        </w:rPr>
        <w:t xml:space="preserve">Both Senegal and the UAE adopt the credit method for the elimination of double taxation, providing relief to investors subject to tax in both jurisdictions. This mechanism ensures that income is not taxed twice, promoting </w:t>
      </w:r>
      <w:proofErr w:type="gramStart"/>
      <w:r w:rsidRPr="003212F3">
        <w:rPr>
          <w:rFonts w:asciiTheme="majorHAnsi" w:hAnsiTheme="majorHAnsi" w:cstheme="majorHAnsi"/>
          <w:color w:val="002060"/>
          <w:sz w:val="22"/>
          <w:szCs w:val="22"/>
          <w:lang w:val="en-US"/>
        </w:rPr>
        <w:t>fairness</w:t>
      </w:r>
      <w:proofErr w:type="gramEnd"/>
      <w:r w:rsidRPr="003212F3">
        <w:rPr>
          <w:rFonts w:asciiTheme="majorHAnsi" w:hAnsiTheme="majorHAnsi" w:cstheme="majorHAnsi"/>
          <w:color w:val="002060"/>
          <w:sz w:val="22"/>
          <w:szCs w:val="22"/>
          <w:lang w:val="en-US"/>
        </w:rPr>
        <w:t xml:space="preserve"> and facilitating cross-border investment.</w:t>
      </w:r>
    </w:p>
    <w:p w14:paraId="3E71B140" w14:textId="77777777" w:rsidR="002B203C" w:rsidRPr="002B203C" w:rsidRDefault="002B203C" w:rsidP="002B203C">
      <w:pPr>
        <w:jc w:val="both"/>
        <w:rPr>
          <w:rFonts w:asciiTheme="majorHAnsi" w:hAnsiTheme="majorHAnsi" w:cstheme="majorHAnsi"/>
          <w:color w:val="002060"/>
          <w:sz w:val="22"/>
          <w:szCs w:val="22"/>
          <w:lang w:val="en-US"/>
        </w:rPr>
      </w:pPr>
    </w:p>
    <w:p w14:paraId="7F3B3225" w14:textId="77777777" w:rsidR="003212F3" w:rsidRDefault="003212F3" w:rsidP="002B203C">
      <w:pPr>
        <w:jc w:val="both"/>
        <w:rPr>
          <w:rFonts w:asciiTheme="majorHAnsi" w:hAnsiTheme="majorHAnsi" w:cstheme="majorHAnsi"/>
          <w:b/>
          <w:bCs/>
          <w:color w:val="002060"/>
          <w:sz w:val="22"/>
          <w:szCs w:val="22"/>
          <w:lang w:val="en-US"/>
        </w:rPr>
      </w:pPr>
      <w:r>
        <w:rPr>
          <w:rFonts w:asciiTheme="majorHAnsi" w:hAnsiTheme="majorHAnsi" w:cstheme="majorHAnsi"/>
          <w:b/>
          <w:bCs/>
          <w:color w:val="002060"/>
          <w:sz w:val="22"/>
          <w:szCs w:val="22"/>
          <w:lang w:val="en-US"/>
        </w:rPr>
        <w:t>Capital Gains</w:t>
      </w:r>
    </w:p>
    <w:p w14:paraId="53234401" w14:textId="6AB70DFE" w:rsidR="003212F3" w:rsidRPr="003212F3" w:rsidRDefault="003212F3" w:rsidP="003212F3">
      <w:pPr>
        <w:jc w:val="both"/>
        <w:rPr>
          <w:rFonts w:asciiTheme="majorHAnsi" w:hAnsiTheme="majorHAnsi" w:cstheme="majorHAnsi"/>
          <w:color w:val="002060"/>
          <w:sz w:val="22"/>
          <w:szCs w:val="22"/>
          <w:lang w:val="en-US"/>
        </w:rPr>
      </w:pPr>
      <w:r w:rsidRPr="003212F3">
        <w:rPr>
          <w:rFonts w:asciiTheme="majorHAnsi" w:hAnsiTheme="majorHAnsi" w:cstheme="majorHAnsi"/>
          <w:color w:val="002060"/>
          <w:sz w:val="22"/>
          <w:szCs w:val="22"/>
          <w:lang w:val="en-US"/>
        </w:rPr>
        <w:t>The treaty delineates the taxation of capital gains, particularly focusing on gains from the alienation of immovable property, shares, and other movable property. Such clarity enables investors to navigate the taxation landscape with confidence, ensuring compliance while optimizing their investment returns.</w:t>
      </w:r>
    </w:p>
    <w:p w14:paraId="0FABF6AF" w14:textId="77777777" w:rsidR="003212F3" w:rsidRPr="003212F3" w:rsidRDefault="003212F3" w:rsidP="002B203C">
      <w:pPr>
        <w:jc w:val="both"/>
        <w:rPr>
          <w:rFonts w:asciiTheme="majorHAnsi" w:hAnsiTheme="majorHAnsi" w:cstheme="majorHAnsi"/>
          <w:b/>
          <w:bCs/>
          <w:color w:val="002060"/>
          <w:sz w:val="22"/>
          <w:szCs w:val="22"/>
          <w:lang w:val="en-AE"/>
        </w:rPr>
      </w:pPr>
    </w:p>
    <w:p w14:paraId="4E9672F7" w14:textId="77777777" w:rsidR="002B203C" w:rsidRDefault="002B203C" w:rsidP="002B203C">
      <w:pPr>
        <w:jc w:val="both"/>
        <w:rPr>
          <w:rFonts w:asciiTheme="majorHAnsi" w:hAnsiTheme="majorHAnsi" w:cstheme="majorHAnsi"/>
          <w:b/>
          <w:bCs/>
          <w:color w:val="002060"/>
          <w:sz w:val="22"/>
          <w:szCs w:val="22"/>
          <w:lang w:val="en-US"/>
        </w:rPr>
      </w:pPr>
    </w:p>
    <w:p w14:paraId="32D99D49" w14:textId="77777777" w:rsidR="00EA6438" w:rsidRDefault="00EA6438" w:rsidP="002B203C">
      <w:pPr>
        <w:jc w:val="both"/>
        <w:rPr>
          <w:rFonts w:asciiTheme="majorHAnsi" w:hAnsiTheme="majorHAnsi" w:cstheme="majorHAnsi"/>
          <w:b/>
          <w:bCs/>
          <w:color w:val="002060"/>
          <w:sz w:val="22"/>
          <w:szCs w:val="22"/>
          <w:lang w:val="en-US"/>
        </w:rPr>
      </w:pPr>
    </w:p>
    <w:p w14:paraId="343B19B0" w14:textId="77777777" w:rsidR="00EA6438" w:rsidRDefault="00EA6438" w:rsidP="002B203C">
      <w:pPr>
        <w:jc w:val="both"/>
        <w:rPr>
          <w:rFonts w:asciiTheme="majorHAnsi" w:hAnsiTheme="majorHAnsi" w:cstheme="majorHAnsi"/>
          <w:b/>
          <w:bCs/>
          <w:color w:val="002060"/>
          <w:sz w:val="22"/>
          <w:szCs w:val="22"/>
          <w:lang w:val="en-US"/>
        </w:rPr>
      </w:pPr>
    </w:p>
    <w:p w14:paraId="2A549147" w14:textId="77777777" w:rsidR="003212F3" w:rsidRDefault="003212F3" w:rsidP="002B203C">
      <w:pPr>
        <w:jc w:val="both"/>
        <w:rPr>
          <w:rFonts w:asciiTheme="majorHAnsi" w:hAnsiTheme="majorHAnsi" w:cstheme="majorHAnsi"/>
          <w:b/>
          <w:bCs/>
          <w:color w:val="002060"/>
          <w:sz w:val="22"/>
          <w:szCs w:val="22"/>
          <w:lang w:val="en-US"/>
        </w:rPr>
      </w:pPr>
    </w:p>
    <w:p w14:paraId="0B182594" w14:textId="77777777" w:rsidR="00E4531D" w:rsidRDefault="00E4531D" w:rsidP="002B203C">
      <w:pPr>
        <w:jc w:val="both"/>
        <w:rPr>
          <w:rFonts w:asciiTheme="majorHAnsi" w:hAnsiTheme="majorHAnsi" w:cstheme="majorHAnsi"/>
          <w:b/>
          <w:bCs/>
          <w:color w:val="002060"/>
          <w:sz w:val="22"/>
          <w:szCs w:val="22"/>
          <w:lang w:val="en-US"/>
        </w:rPr>
      </w:pPr>
    </w:p>
    <w:p w14:paraId="4683BEFE" w14:textId="77777777" w:rsidR="003212F3" w:rsidRDefault="003212F3" w:rsidP="002B203C">
      <w:pPr>
        <w:jc w:val="both"/>
        <w:rPr>
          <w:rFonts w:asciiTheme="majorHAnsi" w:hAnsiTheme="majorHAnsi" w:cstheme="majorHAnsi"/>
          <w:b/>
          <w:bCs/>
          <w:color w:val="002060"/>
          <w:sz w:val="22"/>
          <w:szCs w:val="22"/>
          <w:lang w:val="en-US"/>
        </w:rPr>
      </w:pPr>
    </w:p>
    <w:p w14:paraId="5EA3DB06" w14:textId="09561582" w:rsidR="003212F3" w:rsidRDefault="003212F3" w:rsidP="002B203C">
      <w:pPr>
        <w:jc w:val="both"/>
        <w:rPr>
          <w:rFonts w:asciiTheme="majorHAnsi" w:hAnsiTheme="majorHAnsi" w:cstheme="majorHAnsi"/>
          <w:b/>
          <w:bCs/>
          <w:color w:val="002060"/>
          <w:sz w:val="22"/>
          <w:szCs w:val="22"/>
          <w:lang w:val="en-US"/>
        </w:rPr>
      </w:pPr>
      <w:r>
        <w:rPr>
          <w:rFonts w:asciiTheme="majorHAnsi" w:hAnsiTheme="majorHAnsi" w:cstheme="majorHAnsi"/>
          <w:b/>
          <w:bCs/>
          <w:color w:val="002060"/>
          <w:sz w:val="22"/>
          <w:szCs w:val="22"/>
          <w:lang w:val="en-US"/>
        </w:rPr>
        <w:t>Limitation on Benefits</w:t>
      </w:r>
    </w:p>
    <w:p w14:paraId="24E6B171" w14:textId="77777777" w:rsidR="003212F3" w:rsidRPr="003212F3" w:rsidRDefault="003212F3" w:rsidP="003212F3">
      <w:pPr>
        <w:jc w:val="both"/>
        <w:rPr>
          <w:rFonts w:asciiTheme="majorHAnsi" w:hAnsiTheme="majorHAnsi" w:cstheme="majorHAnsi"/>
          <w:color w:val="002060"/>
          <w:sz w:val="22"/>
          <w:szCs w:val="22"/>
          <w:lang w:val="en-US"/>
        </w:rPr>
      </w:pPr>
      <w:r w:rsidRPr="003212F3">
        <w:rPr>
          <w:rFonts w:asciiTheme="majorHAnsi" w:hAnsiTheme="majorHAnsi" w:cstheme="majorHAnsi"/>
          <w:color w:val="002060"/>
          <w:sz w:val="22"/>
          <w:szCs w:val="22"/>
          <w:lang w:val="en-US"/>
        </w:rPr>
        <w:t>Furthermore, the treaty includes provisions on Limitation on Benefits, aimed at preventing abuse of its provisions for tax avoidance purposes. By ensuring that the treaty's benefits are enjoyed by legitimate investors with genuine economic activities, this provision enhances the integrity and effectiveness of the treaty.</w:t>
      </w:r>
    </w:p>
    <w:p w14:paraId="72E70CE5" w14:textId="77777777" w:rsidR="003212F3" w:rsidRDefault="003212F3" w:rsidP="002B203C">
      <w:pPr>
        <w:jc w:val="both"/>
        <w:rPr>
          <w:rFonts w:asciiTheme="majorHAnsi" w:hAnsiTheme="majorHAnsi" w:cstheme="majorHAnsi"/>
          <w:b/>
          <w:bCs/>
          <w:color w:val="002060"/>
          <w:sz w:val="22"/>
          <w:szCs w:val="22"/>
          <w:lang w:val="en-AE"/>
        </w:rPr>
      </w:pPr>
    </w:p>
    <w:p w14:paraId="717BB957" w14:textId="77777777" w:rsidR="003212F3" w:rsidRPr="003212F3" w:rsidRDefault="003212F3" w:rsidP="002B203C">
      <w:pPr>
        <w:jc w:val="both"/>
        <w:rPr>
          <w:rFonts w:asciiTheme="majorHAnsi" w:hAnsiTheme="majorHAnsi" w:cstheme="majorHAnsi"/>
          <w:b/>
          <w:bCs/>
          <w:color w:val="002060"/>
          <w:sz w:val="22"/>
          <w:szCs w:val="22"/>
          <w:lang w:val="en-AE"/>
        </w:rPr>
      </w:pPr>
    </w:p>
    <w:p w14:paraId="405632A3" w14:textId="32822F00" w:rsidR="002B203C" w:rsidRPr="002B203C" w:rsidRDefault="003212F3" w:rsidP="003212F3">
      <w:pPr>
        <w:jc w:val="both"/>
        <w:rPr>
          <w:rFonts w:asciiTheme="majorHAnsi" w:hAnsiTheme="majorHAnsi" w:cstheme="majorHAnsi"/>
          <w:color w:val="002060"/>
          <w:sz w:val="22"/>
          <w:szCs w:val="22"/>
          <w:lang w:val="en-US"/>
        </w:rPr>
      </w:pPr>
      <w:r>
        <w:rPr>
          <w:rFonts w:asciiTheme="majorHAnsi" w:hAnsiTheme="majorHAnsi" w:cstheme="majorHAnsi"/>
          <w:b/>
          <w:bCs/>
          <w:color w:val="002060"/>
          <w:sz w:val="22"/>
          <w:szCs w:val="22"/>
          <w:lang w:val="en-US"/>
        </w:rPr>
        <w:t>Conclusion</w:t>
      </w:r>
      <w:r w:rsidR="002B203C" w:rsidRPr="002B203C">
        <w:rPr>
          <w:rFonts w:asciiTheme="majorHAnsi" w:hAnsiTheme="majorHAnsi" w:cstheme="majorHAnsi"/>
          <w:color w:val="002060"/>
          <w:sz w:val="22"/>
          <w:szCs w:val="22"/>
          <w:lang w:val="en-US"/>
        </w:rPr>
        <w:t xml:space="preserve"> </w:t>
      </w:r>
    </w:p>
    <w:p w14:paraId="45E17121" w14:textId="77777777" w:rsidR="002B203C" w:rsidRPr="002B203C" w:rsidRDefault="002B203C" w:rsidP="002B203C">
      <w:pPr>
        <w:jc w:val="both"/>
        <w:rPr>
          <w:rFonts w:asciiTheme="majorHAnsi" w:hAnsiTheme="majorHAnsi" w:cstheme="majorHAnsi"/>
          <w:color w:val="002060"/>
          <w:sz w:val="22"/>
          <w:szCs w:val="22"/>
          <w:lang w:val="en-US"/>
        </w:rPr>
      </w:pPr>
    </w:p>
    <w:p w14:paraId="4669A88E" w14:textId="77777777" w:rsidR="003212F3" w:rsidRPr="003212F3" w:rsidRDefault="003212F3" w:rsidP="003212F3">
      <w:pPr>
        <w:jc w:val="both"/>
        <w:rPr>
          <w:rFonts w:asciiTheme="majorHAnsi" w:hAnsiTheme="majorHAnsi" w:cstheme="majorHAnsi"/>
          <w:color w:val="002060"/>
          <w:sz w:val="22"/>
          <w:szCs w:val="22"/>
          <w:lang w:val="en-US"/>
        </w:rPr>
      </w:pPr>
      <w:r w:rsidRPr="003212F3">
        <w:rPr>
          <w:rFonts w:asciiTheme="majorHAnsi" w:hAnsiTheme="majorHAnsi" w:cstheme="majorHAnsi"/>
          <w:color w:val="002060"/>
          <w:sz w:val="22"/>
          <w:szCs w:val="22"/>
          <w:lang w:val="en-US"/>
        </w:rPr>
        <w:t>Since its entry into force on 2 July 2017, the treaty has provided a solid foundation for investors looking to capitalize on the growing opportunities between Senegal and the UAE. By offering clarity, predictability, and fairness in tax matters, the treaty unlocks the full potential of investments between these two dynamic economies.</w:t>
      </w:r>
    </w:p>
    <w:p w14:paraId="35C0BD8D" w14:textId="001ED4F9" w:rsidR="00EA6438" w:rsidRPr="00B31AA6" w:rsidRDefault="003212F3" w:rsidP="00B31AA6">
      <w:pPr>
        <w:jc w:val="both"/>
        <w:rPr>
          <w:rFonts w:asciiTheme="majorHAnsi" w:hAnsiTheme="majorHAnsi" w:cstheme="majorHAnsi"/>
          <w:color w:val="002060"/>
          <w:sz w:val="22"/>
          <w:szCs w:val="22"/>
          <w:lang w:val="en-US"/>
        </w:rPr>
      </w:pPr>
      <w:r w:rsidRPr="003212F3">
        <w:rPr>
          <w:rFonts w:asciiTheme="majorHAnsi" w:hAnsiTheme="majorHAnsi" w:cstheme="majorHAnsi"/>
          <w:color w:val="002060"/>
          <w:sz w:val="22"/>
          <w:szCs w:val="22"/>
          <w:lang w:val="en-US"/>
        </w:rPr>
        <w:t xml:space="preserve">If you would like to know more about the UAE-Senegal tax treaty, or about setting up your investment holding company in the UAE, please reach out to </w:t>
      </w:r>
      <w:r w:rsidR="002A1D9B">
        <w:rPr>
          <w:rFonts w:asciiTheme="majorHAnsi" w:hAnsiTheme="majorHAnsi" w:cstheme="majorHAnsi"/>
          <w:color w:val="002060"/>
          <w:sz w:val="22"/>
          <w:szCs w:val="22"/>
          <w:lang w:val="en-US"/>
        </w:rPr>
        <w:t>our Dubai-based experts.</w:t>
      </w:r>
    </w:p>
    <w:p w14:paraId="22EC5946" w14:textId="77777777" w:rsidR="00EA6438" w:rsidRDefault="00EA6438" w:rsidP="00331DD7">
      <w:pPr>
        <w:rPr>
          <w:rFonts w:asciiTheme="majorHAnsi" w:hAnsiTheme="majorHAnsi" w:cstheme="majorHAnsi"/>
          <w:b/>
          <w:bCs/>
          <w:color w:val="002060"/>
          <w:sz w:val="22"/>
          <w:szCs w:val="22"/>
          <w:lang w:val="en-US"/>
        </w:rPr>
      </w:pPr>
    </w:p>
    <w:p w14:paraId="34B51EF0" w14:textId="77777777" w:rsidR="00EA6438" w:rsidRDefault="00EA6438" w:rsidP="00331DD7">
      <w:pPr>
        <w:rPr>
          <w:rFonts w:asciiTheme="majorHAnsi" w:hAnsiTheme="majorHAnsi" w:cstheme="majorHAnsi"/>
          <w:b/>
          <w:bCs/>
          <w:color w:val="002060"/>
          <w:sz w:val="22"/>
          <w:szCs w:val="22"/>
          <w:lang w:val="en-US"/>
        </w:rPr>
      </w:pPr>
    </w:p>
    <w:p w14:paraId="5B9DB6D2" w14:textId="77777777" w:rsidR="002E4E49" w:rsidRPr="00331DD7" w:rsidRDefault="002E4E49" w:rsidP="007315E1">
      <w:pPr>
        <w:jc w:val="both"/>
        <w:rPr>
          <w:rFonts w:asciiTheme="majorHAnsi" w:hAnsiTheme="majorHAnsi" w:cstheme="majorHAnsi"/>
          <w:color w:val="002060"/>
          <w:sz w:val="22"/>
          <w:szCs w:val="22"/>
          <w:lang w:val="en-US"/>
        </w:rPr>
      </w:pPr>
    </w:p>
    <w:p w14:paraId="2063BBED" w14:textId="77777777" w:rsidR="00213465" w:rsidRPr="005E5055" w:rsidRDefault="00213465" w:rsidP="0001710D">
      <w:pPr>
        <w:jc w:val="both"/>
        <w:rPr>
          <w:rFonts w:asciiTheme="majorHAnsi" w:eastAsiaTheme="minorEastAsia" w:hAnsiTheme="majorHAnsi" w:cstheme="majorHAnsi"/>
          <w:color w:val="002060"/>
          <w:sz w:val="22"/>
          <w:szCs w:val="22"/>
          <w:lang w:val="en-US" w:eastAsia="zh-CN"/>
        </w:rPr>
      </w:pPr>
    </w:p>
    <w:p w14:paraId="2B2F6480" w14:textId="323B8162" w:rsidR="000B1FCF" w:rsidRPr="00EF6D1E" w:rsidRDefault="000B1FCF" w:rsidP="009A5132">
      <w:pPr>
        <w:ind w:right="165"/>
        <w:jc w:val="both"/>
        <w:rPr>
          <w:rFonts w:asciiTheme="majorHAnsi" w:hAnsiTheme="majorHAnsi" w:cstheme="majorHAnsi"/>
          <w:color w:val="002060"/>
          <w:sz w:val="22"/>
          <w:szCs w:val="22"/>
        </w:rPr>
      </w:pPr>
    </w:p>
    <w:p w14:paraId="542F5751" w14:textId="77777777" w:rsidR="000B1FCF" w:rsidRDefault="000B1FCF" w:rsidP="000B1FCF">
      <w:pPr>
        <w:rPr>
          <w:b/>
        </w:rPr>
      </w:pPr>
    </w:p>
    <w:p w14:paraId="3E614E2A" w14:textId="16FB6773" w:rsidR="00757CDE" w:rsidRPr="005C5C12" w:rsidRDefault="00757CDE" w:rsidP="005C5C12">
      <w:pPr>
        <w:rPr>
          <w:b/>
          <w:lang w:val="en-GB"/>
        </w:rPr>
      </w:pPr>
    </w:p>
    <w:p w14:paraId="70D66714" w14:textId="2BE40C1D" w:rsidR="00B33C27" w:rsidRDefault="00B33C27" w:rsidP="00757CDE">
      <w:pPr>
        <w:spacing w:after="160"/>
        <w:jc w:val="both"/>
        <w:rPr>
          <w:rFonts w:asciiTheme="majorHAnsi" w:hAnsiTheme="majorHAnsi" w:cstheme="majorHAnsi"/>
          <w:b/>
          <w:bCs/>
          <w:color w:val="002060"/>
          <w:sz w:val="22"/>
          <w:szCs w:val="22"/>
          <w:lang w:val="en-US"/>
        </w:rPr>
      </w:pPr>
      <w:r>
        <w:rPr>
          <w:rFonts w:asciiTheme="majorHAnsi" w:hAnsiTheme="majorHAnsi" w:cstheme="majorHAnsi"/>
          <w:b/>
          <w:bCs/>
          <w:color w:val="002060"/>
          <w:sz w:val="22"/>
          <w:szCs w:val="22"/>
          <w:lang w:val="en-US"/>
        </w:rPr>
        <w:t>Get in touch with us</w:t>
      </w:r>
      <w:r w:rsidR="005C5C12">
        <w:rPr>
          <w:rFonts w:asciiTheme="majorHAnsi" w:hAnsiTheme="majorHAnsi" w:cstheme="majorHAnsi"/>
          <w:b/>
          <w:bCs/>
          <w:color w:val="002060"/>
          <w:sz w:val="22"/>
          <w:szCs w:val="22"/>
          <w:lang w:val="en-US"/>
        </w:rPr>
        <w:t>:</w:t>
      </w:r>
    </w:p>
    <w:p w14:paraId="2C14E7DE" w14:textId="28404C16" w:rsidR="005C5C12" w:rsidRDefault="004917B1" w:rsidP="00757CDE">
      <w:pPr>
        <w:spacing w:after="160"/>
        <w:jc w:val="both"/>
        <w:rPr>
          <w:rFonts w:asciiTheme="majorHAnsi" w:hAnsiTheme="majorHAnsi" w:cstheme="majorHAnsi"/>
          <w:b/>
          <w:bCs/>
          <w:color w:val="002060"/>
          <w:sz w:val="22"/>
          <w:szCs w:val="22"/>
          <w:lang w:val="en-US"/>
        </w:rPr>
      </w:pPr>
      <w:r w:rsidRPr="00155152">
        <w:rPr>
          <w:rFonts w:asciiTheme="majorHAnsi" w:hAnsiTheme="majorHAnsi" w:cstheme="majorHAnsi"/>
          <w:b/>
          <w:bCs/>
          <w:noProof/>
          <w:color w:val="002060"/>
          <w:u w:val="single"/>
        </w:rPr>
        <w:drawing>
          <wp:anchor distT="0" distB="0" distL="114300" distR="114300" simplePos="0" relativeHeight="251660288" behindDoc="0" locked="0" layoutInCell="1" allowOverlap="1" wp14:anchorId="793243B8" wp14:editId="7BE57FDA">
            <wp:simplePos x="0" y="0"/>
            <wp:positionH relativeFrom="column">
              <wp:posOffset>4229100</wp:posOffset>
            </wp:positionH>
            <wp:positionV relativeFrom="paragraph">
              <wp:posOffset>194310</wp:posOffset>
            </wp:positionV>
            <wp:extent cx="973455" cy="1373505"/>
            <wp:effectExtent l="19050" t="19050" r="17145" b="17145"/>
            <wp:wrapNone/>
            <wp:docPr id="7" name="Picture 6">
              <a:extLst xmlns:a="http://schemas.openxmlformats.org/drawingml/2006/main">
                <a:ext uri="{FF2B5EF4-FFF2-40B4-BE49-F238E27FC236}">
                  <a16:creationId xmlns:a16="http://schemas.microsoft.com/office/drawing/2014/main" id="{30B6E229-6AD6-4E82-A9A8-1458370A9E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0B6E229-6AD6-4E82-A9A8-1458370A9E2D}"/>
                        </a:ext>
                      </a:extLst>
                    </pic:cNvPr>
                    <pic:cNvPicPr>
                      <a:picLocks noChangeAspect="1"/>
                    </pic:cNvPicPr>
                  </pic:nvPicPr>
                  <pic:blipFill>
                    <a:blip r:embed="rId10"/>
                    <a:stretch>
                      <a:fillRect/>
                    </a:stretch>
                  </pic:blipFill>
                  <pic:spPr>
                    <a:xfrm>
                      <a:off x="0" y="0"/>
                      <a:ext cx="973455" cy="137350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669E5ACC" w14:textId="77777777" w:rsidR="00047C40" w:rsidRDefault="00047C40" w:rsidP="00757CDE">
      <w:pPr>
        <w:spacing w:after="160"/>
        <w:jc w:val="both"/>
        <w:rPr>
          <w:rFonts w:asciiTheme="majorHAnsi" w:hAnsiTheme="majorHAnsi" w:cstheme="majorHAnsi"/>
          <w:b/>
          <w:bCs/>
          <w:color w:val="002060"/>
          <w:sz w:val="22"/>
          <w:szCs w:val="22"/>
          <w:lang w:val="en-US"/>
        </w:rPr>
        <w:sectPr w:rsidR="00047C40" w:rsidSect="00B163C4">
          <w:headerReference w:type="default" r:id="rId11"/>
          <w:footerReference w:type="default" r:id="rId12"/>
          <w:pgSz w:w="11906" w:h="16838" w:code="9"/>
          <w:pgMar w:top="1440" w:right="1440" w:bottom="816" w:left="1440" w:header="0" w:footer="1361" w:gutter="0"/>
          <w:cols w:space="708"/>
          <w:docGrid w:linePitch="360"/>
        </w:sectPr>
      </w:pPr>
    </w:p>
    <w:p w14:paraId="12A8206C" w14:textId="7A18E619" w:rsidR="00047C40" w:rsidRDefault="00F62BA2" w:rsidP="004917B1">
      <w:pPr>
        <w:spacing w:after="160"/>
        <w:jc w:val="both"/>
        <w:rPr>
          <w:rFonts w:asciiTheme="majorHAnsi" w:hAnsiTheme="majorHAnsi" w:cstheme="majorHAnsi"/>
          <w:b/>
          <w:bCs/>
          <w:color w:val="002060"/>
          <w:sz w:val="22"/>
          <w:szCs w:val="22"/>
          <w:lang w:val="en-US"/>
        </w:rPr>
      </w:pPr>
      <w:r>
        <w:rPr>
          <w:rFonts w:asciiTheme="majorHAnsi" w:hAnsiTheme="majorHAnsi" w:cstheme="majorHAnsi"/>
          <w:b/>
          <w:bCs/>
          <w:color w:val="002060"/>
          <w:sz w:val="22"/>
          <w:szCs w:val="22"/>
          <w:lang w:val="en-US"/>
        </w:rPr>
        <w:t xml:space="preserve">Terry ANTOINETTE, </w:t>
      </w:r>
    </w:p>
    <w:p w14:paraId="38757BD8" w14:textId="08E8D0FA" w:rsidR="002E280F" w:rsidRDefault="00F62BA2" w:rsidP="004917B1">
      <w:pPr>
        <w:spacing w:after="160"/>
        <w:jc w:val="both"/>
        <w:rPr>
          <w:rFonts w:asciiTheme="majorHAnsi" w:hAnsiTheme="majorHAnsi" w:cstheme="majorHAnsi"/>
          <w:b/>
          <w:bCs/>
          <w:color w:val="002060"/>
          <w:sz w:val="22"/>
          <w:szCs w:val="22"/>
          <w:lang w:val="en-US"/>
        </w:rPr>
      </w:pPr>
      <w:r>
        <w:rPr>
          <w:rFonts w:asciiTheme="majorHAnsi" w:hAnsiTheme="majorHAnsi" w:cstheme="majorHAnsi"/>
          <w:b/>
          <w:bCs/>
          <w:color w:val="002060"/>
          <w:sz w:val="22"/>
          <w:szCs w:val="22"/>
          <w:lang w:val="en-US"/>
        </w:rPr>
        <w:t>M</w:t>
      </w:r>
      <w:r w:rsidR="005C5C12">
        <w:rPr>
          <w:rFonts w:asciiTheme="majorHAnsi" w:hAnsiTheme="majorHAnsi" w:cstheme="majorHAnsi"/>
          <w:b/>
          <w:bCs/>
          <w:color w:val="002060"/>
          <w:sz w:val="22"/>
          <w:szCs w:val="22"/>
          <w:lang w:val="en-US"/>
        </w:rPr>
        <w:t>anaging Director</w:t>
      </w:r>
      <w:r w:rsidR="007E7A96" w:rsidRPr="007E7A96">
        <w:rPr>
          <w:rFonts w:asciiTheme="majorHAnsi" w:hAnsiTheme="majorHAnsi" w:cstheme="majorHAnsi"/>
          <w:b/>
          <w:bCs/>
          <w:noProof/>
          <w:color w:val="002060"/>
          <w:lang w:val="en-GB"/>
        </w:rPr>
        <w:t xml:space="preserve">, </w:t>
      </w:r>
      <w:r w:rsidR="005C5C12">
        <w:rPr>
          <w:rFonts w:asciiTheme="majorHAnsi" w:hAnsiTheme="majorHAnsi" w:cstheme="majorHAnsi"/>
          <w:b/>
          <w:bCs/>
          <w:color w:val="002060"/>
          <w:sz w:val="22"/>
          <w:szCs w:val="22"/>
          <w:lang w:val="en-US"/>
        </w:rPr>
        <w:t>DTOS UAE</w:t>
      </w:r>
    </w:p>
    <w:p w14:paraId="72119325" w14:textId="77777777" w:rsidR="002E280F" w:rsidRDefault="002E280F" w:rsidP="00757CDE">
      <w:pPr>
        <w:spacing w:after="160"/>
        <w:jc w:val="both"/>
        <w:rPr>
          <w:rFonts w:asciiTheme="majorHAnsi" w:hAnsiTheme="majorHAnsi" w:cstheme="majorHAnsi"/>
          <w:b/>
          <w:bCs/>
          <w:color w:val="002060"/>
          <w:sz w:val="22"/>
          <w:szCs w:val="22"/>
          <w:lang w:val="en-US"/>
        </w:rPr>
      </w:pPr>
    </w:p>
    <w:p w14:paraId="11FCB727" w14:textId="00397CCD" w:rsidR="00D32EAC" w:rsidRPr="002E280F" w:rsidRDefault="00047C40" w:rsidP="004917B1">
      <w:pPr>
        <w:spacing w:after="160"/>
        <w:jc w:val="both"/>
        <w:rPr>
          <w:rFonts w:asciiTheme="majorHAnsi" w:hAnsiTheme="majorHAnsi" w:cstheme="majorHAnsi"/>
          <w:b/>
          <w:bCs/>
          <w:color w:val="002060"/>
          <w:sz w:val="22"/>
          <w:szCs w:val="22"/>
          <w:lang w:val="en-US"/>
        </w:rPr>
      </w:pPr>
      <w:r>
        <w:rPr>
          <w:rFonts w:asciiTheme="majorHAnsi" w:hAnsiTheme="majorHAnsi" w:cstheme="majorHAnsi"/>
          <w:color w:val="002060"/>
          <w:sz w:val="22"/>
          <w:szCs w:val="22"/>
          <w:u w:val="single"/>
          <w:lang w:val="en-US"/>
        </w:rPr>
        <w:t>TAntoinette</w:t>
      </w:r>
      <w:hyperlink r:id="rId13" w:history="1">
        <w:r w:rsidR="00757CDE" w:rsidRPr="00D32EAC">
          <w:rPr>
            <w:rFonts w:asciiTheme="majorHAnsi" w:hAnsiTheme="majorHAnsi" w:cstheme="majorHAnsi"/>
            <w:color w:val="002060"/>
            <w:sz w:val="22"/>
            <w:szCs w:val="22"/>
            <w:u w:val="single"/>
            <w:lang w:val="en-US"/>
          </w:rPr>
          <w:t>@</w:t>
        </w:r>
      </w:hyperlink>
      <w:hyperlink r:id="rId14" w:history="1">
        <w:r w:rsidR="00757CDE" w:rsidRPr="00D32EAC">
          <w:rPr>
            <w:rFonts w:asciiTheme="majorHAnsi" w:hAnsiTheme="majorHAnsi" w:cstheme="majorHAnsi"/>
            <w:color w:val="002060"/>
            <w:sz w:val="22"/>
            <w:szCs w:val="22"/>
            <w:u w:val="single"/>
            <w:lang w:val="en-US"/>
          </w:rPr>
          <w:t>d</w:t>
        </w:r>
      </w:hyperlink>
      <w:hyperlink r:id="rId15" w:history="1">
        <w:r w:rsidR="00757CDE" w:rsidRPr="00D32EAC">
          <w:rPr>
            <w:rFonts w:asciiTheme="majorHAnsi" w:hAnsiTheme="majorHAnsi" w:cstheme="majorHAnsi"/>
            <w:color w:val="002060"/>
            <w:sz w:val="22"/>
            <w:szCs w:val="22"/>
            <w:u w:val="single"/>
            <w:lang w:val="en-US"/>
          </w:rPr>
          <w:t>to</w:t>
        </w:r>
      </w:hyperlink>
      <w:hyperlink r:id="rId16" w:history="1">
        <w:r w:rsidR="00757CDE" w:rsidRPr="00D32EAC">
          <w:rPr>
            <w:rFonts w:asciiTheme="majorHAnsi" w:hAnsiTheme="majorHAnsi" w:cstheme="majorHAnsi"/>
            <w:color w:val="002060"/>
            <w:sz w:val="22"/>
            <w:szCs w:val="22"/>
            <w:u w:val="single"/>
            <w:lang w:val="en-US"/>
          </w:rPr>
          <w:t>s</w:t>
        </w:r>
      </w:hyperlink>
      <w:hyperlink r:id="rId17" w:history="1">
        <w:r w:rsidR="00757CDE" w:rsidRPr="00D32EAC">
          <w:rPr>
            <w:rFonts w:asciiTheme="majorHAnsi" w:hAnsiTheme="majorHAnsi" w:cstheme="majorHAnsi"/>
            <w:color w:val="002060"/>
            <w:sz w:val="22"/>
            <w:szCs w:val="22"/>
            <w:u w:val="single"/>
            <w:lang w:val="en-US"/>
          </w:rPr>
          <w:t>-</w:t>
        </w:r>
      </w:hyperlink>
      <w:hyperlink r:id="rId18" w:history="1">
        <w:r w:rsidR="00757CDE" w:rsidRPr="00D32EAC">
          <w:rPr>
            <w:rFonts w:asciiTheme="majorHAnsi" w:hAnsiTheme="majorHAnsi" w:cstheme="majorHAnsi"/>
            <w:color w:val="002060"/>
            <w:sz w:val="22"/>
            <w:szCs w:val="22"/>
            <w:u w:val="single"/>
            <w:lang w:val="en-US"/>
          </w:rPr>
          <w:t>mu.</w:t>
        </w:r>
      </w:hyperlink>
      <w:hyperlink r:id="rId19" w:history="1">
        <w:r w:rsidR="00D32EAC" w:rsidRPr="00D32EAC">
          <w:rPr>
            <w:rFonts w:asciiTheme="majorHAnsi" w:hAnsiTheme="majorHAnsi" w:cstheme="majorHAnsi"/>
            <w:color w:val="002060"/>
            <w:sz w:val="22"/>
            <w:szCs w:val="22"/>
            <w:u w:val="single"/>
            <w:lang w:val="en-US"/>
          </w:rPr>
          <w:t>com</w:t>
        </w:r>
      </w:hyperlink>
    </w:p>
    <w:p w14:paraId="3138B4B8" w14:textId="77777777" w:rsidR="00FA3658" w:rsidRPr="000F04FB" w:rsidRDefault="00FA3658" w:rsidP="004917B1">
      <w:pPr>
        <w:spacing w:after="120"/>
        <w:jc w:val="both"/>
        <w:rPr>
          <w:rFonts w:asciiTheme="majorHAnsi" w:hAnsiTheme="majorHAnsi" w:cstheme="majorHAnsi"/>
          <w:color w:val="002060"/>
          <w:lang w:val="en-US"/>
        </w:rPr>
      </w:pPr>
      <w:r>
        <w:rPr>
          <w:rFonts w:asciiTheme="majorHAnsi" w:hAnsiTheme="majorHAnsi" w:cstheme="majorHAnsi"/>
          <w:color w:val="002060"/>
          <w:lang w:val="en-US"/>
        </w:rPr>
        <w:t xml:space="preserve">T: </w:t>
      </w:r>
      <w:r w:rsidRPr="000F04FB">
        <w:rPr>
          <w:rFonts w:asciiTheme="majorHAnsi" w:hAnsiTheme="majorHAnsi" w:cstheme="majorHAnsi"/>
          <w:color w:val="002060"/>
          <w:lang w:val="en-US"/>
        </w:rPr>
        <w:t>+971</w:t>
      </w:r>
      <w:r>
        <w:rPr>
          <w:rFonts w:asciiTheme="majorHAnsi" w:hAnsiTheme="majorHAnsi" w:cstheme="majorHAnsi"/>
          <w:color w:val="002060"/>
          <w:lang w:val="en-US"/>
        </w:rPr>
        <w:t xml:space="preserve"> </w:t>
      </w:r>
      <w:r w:rsidRPr="000F04FB">
        <w:rPr>
          <w:rFonts w:asciiTheme="majorHAnsi" w:hAnsiTheme="majorHAnsi" w:cstheme="majorHAnsi"/>
          <w:color w:val="002060"/>
          <w:lang w:val="en-US"/>
        </w:rPr>
        <w:t>50</w:t>
      </w:r>
      <w:r>
        <w:rPr>
          <w:rFonts w:asciiTheme="majorHAnsi" w:hAnsiTheme="majorHAnsi" w:cstheme="majorHAnsi"/>
          <w:color w:val="002060"/>
          <w:lang w:val="en-US"/>
        </w:rPr>
        <w:t>7</w:t>
      </w:r>
      <w:r w:rsidRPr="000F04FB">
        <w:rPr>
          <w:rFonts w:asciiTheme="majorHAnsi" w:hAnsiTheme="majorHAnsi" w:cstheme="majorHAnsi"/>
          <w:color w:val="002060"/>
          <w:lang w:val="en-US"/>
        </w:rPr>
        <w:t>9</w:t>
      </w:r>
      <w:r>
        <w:rPr>
          <w:rFonts w:asciiTheme="majorHAnsi" w:hAnsiTheme="majorHAnsi" w:cstheme="majorHAnsi"/>
          <w:color w:val="002060"/>
          <w:lang w:val="en-US"/>
        </w:rPr>
        <w:t xml:space="preserve"> </w:t>
      </w:r>
      <w:r w:rsidRPr="000F04FB">
        <w:rPr>
          <w:rFonts w:asciiTheme="majorHAnsi" w:hAnsiTheme="majorHAnsi" w:cstheme="majorHAnsi"/>
          <w:color w:val="002060"/>
          <w:lang w:val="en-US"/>
        </w:rPr>
        <w:t>54</w:t>
      </w:r>
      <w:r>
        <w:rPr>
          <w:rFonts w:asciiTheme="majorHAnsi" w:hAnsiTheme="majorHAnsi" w:cstheme="majorHAnsi"/>
          <w:color w:val="002060"/>
          <w:lang w:val="en-US"/>
        </w:rPr>
        <w:t xml:space="preserve"> 3</w:t>
      </w:r>
      <w:r w:rsidRPr="000F04FB">
        <w:rPr>
          <w:rFonts w:asciiTheme="majorHAnsi" w:hAnsiTheme="majorHAnsi" w:cstheme="majorHAnsi"/>
          <w:color w:val="002060"/>
          <w:lang w:val="en-US"/>
        </w:rPr>
        <w:t>45</w:t>
      </w:r>
    </w:p>
    <w:p w14:paraId="7F919CA5" w14:textId="77777777" w:rsidR="002E280F" w:rsidRDefault="002E280F" w:rsidP="00047C40">
      <w:pPr>
        <w:spacing w:after="120"/>
        <w:jc w:val="both"/>
        <w:rPr>
          <w:rFonts w:asciiTheme="majorHAnsi" w:hAnsiTheme="majorHAnsi" w:cstheme="majorHAnsi"/>
          <w:b/>
          <w:bCs/>
          <w:color w:val="002060"/>
          <w:lang w:val="en-US"/>
        </w:rPr>
        <w:sectPr w:rsidR="002E280F" w:rsidSect="00B163C4">
          <w:type w:val="continuous"/>
          <w:pgSz w:w="11906" w:h="16838" w:code="9"/>
          <w:pgMar w:top="1440" w:right="1440" w:bottom="816" w:left="1440" w:header="0" w:footer="1361" w:gutter="0"/>
          <w:cols w:space="708"/>
          <w:docGrid w:linePitch="360"/>
        </w:sectPr>
      </w:pPr>
    </w:p>
    <w:p w14:paraId="204FE134" w14:textId="77777777" w:rsidR="00FA3658" w:rsidRDefault="00FA3658" w:rsidP="00047C40">
      <w:pPr>
        <w:spacing w:after="120"/>
        <w:jc w:val="both"/>
        <w:rPr>
          <w:rFonts w:asciiTheme="majorHAnsi" w:hAnsiTheme="majorHAnsi" w:cstheme="majorHAnsi"/>
          <w:b/>
          <w:bCs/>
          <w:color w:val="002060"/>
          <w:lang w:val="en-US"/>
        </w:rPr>
      </w:pPr>
    </w:p>
    <w:p w14:paraId="640E3ACB" w14:textId="77777777" w:rsidR="00047C40" w:rsidRDefault="00047C40" w:rsidP="00D63487">
      <w:pPr>
        <w:spacing w:after="160"/>
        <w:jc w:val="both"/>
        <w:rPr>
          <w:rFonts w:asciiTheme="majorHAnsi" w:hAnsiTheme="majorHAnsi" w:cstheme="majorHAnsi"/>
          <w:color w:val="002060"/>
          <w:sz w:val="22"/>
          <w:szCs w:val="22"/>
          <w:lang w:val="en-US"/>
        </w:rPr>
        <w:sectPr w:rsidR="00047C40" w:rsidSect="00B163C4">
          <w:type w:val="continuous"/>
          <w:pgSz w:w="11906" w:h="16838" w:code="9"/>
          <w:pgMar w:top="1440" w:right="1440" w:bottom="816" w:left="1440" w:header="0" w:footer="1361" w:gutter="0"/>
          <w:cols w:num="2" w:space="708"/>
          <w:docGrid w:linePitch="360"/>
        </w:sectPr>
      </w:pPr>
    </w:p>
    <w:p w14:paraId="2966F730" w14:textId="77777777" w:rsidR="00047C40" w:rsidRPr="00D63487" w:rsidRDefault="00047C40" w:rsidP="002E280F">
      <w:pPr>
        <w:spacing w:after="160"/>
        <w:jc w:val="both"/>
        <w:rPr>
          <w:rFonts w:asciiTheme="majorHAnsi" w:hAnsiTheme="majorHAnsi" w:cstheme="majorHAnsi"/>
          <w:color w:val="002060"/>
          <w:sz w:val="22"/>
          <w:szCs w:val="22"/>
          <w:lang w:val="en-US"/>
        </w:rPr>
      </w:pPr>
    </w:p>
    <w:sectPr w:rsidR="00047C40" w:rsidRPr="00D63487" w:rsidSect="00B163C4">
      <w:type w:val="continuous"/>
      <w:pgSz w:w="11906" w:h="16838" w:code="9"/>
      <w:pgMar w:top="1440" w:right="1440" w:bottom="816" w:left="1440" w:header="0"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C100E" w14:textId="77777777" w:rsidR="00B163C4" w:rsidRDefault="00B163C4" w:rsidP="002373F5">
      <w:r>
        <w:separator/>
      </w:r>
    </w:p>
  </w:endnote>
  <w:endnote w:type="continuationSeparator" w:id="0">
    <w:p w14:paraId="3F63FE71" w14:textId="77777777" w:rsidR="00B163C4" w:rsidRDefault="00B163C4" w:rsidP="002373F5">
      <w:r>
        <w:continuationSeparator/>
      </w:r>
    </w:p>
  </w:endnote>
  <w:endnote w:type="continuationNotice" w:id="1">
    <w:p w14:paraId="78634466" w14:textId="77777777" w:rsidR="00B163C4" w:rsidRDefault="00B16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3055" w14:textId="7F7ABDE9" w:rsidR="00CF7589" w:rsidRPr="00413B95" w:rsidRDefault="004A79DA" w:rsidP="00D56ECB">
    <w:pPr>
      <w:pStyle w:val="Footer"/>
      <w:tabs>
        <w:tab w:val="right" w:pos="4513"/>
      </w:tabs>
      <w:spacing w:line="360" w:lineRule="auto"/>
      <w:ind w:right="-613"/>
      <w:rPr>
        <w:rFonts w:ascii="Georgia" w:hAnsi="Georgia" w:cstheme="majorHAnsi"/>
        <w:sz w:val="18"/>
        <w:szCs w:val="18"/>
        <w:lang w:val="en-US"/>
      </w:rPr>
    </w:pPr>
    <w:r w:rsidRPr="00413B95">
      <w:rPr>
        <w:rFonts w:ascii="Georgia" w:hAnsi="Georgia" w:cstheme="majorHAnsi"/>
        <w:noProof/>
        <w:sz w:val="18"/>
        <w:szCs w:val="18"/>
      </w:rPr>
      <w:drawing>
        <wp:anchor distT="0" distB="0" distL="114300" distR="114300" simplePos="0" relativeHeight="251658241" behindDoc="1" locked="0" layoutInCell="1" allowOverlap="1" wp14:anchorId="2E0DEE7D" wp14:editId="3BB43FF1">
          <wp:simplePos x="0" y="0"/>
          <wp:positionH relativeFrom="column">
            <wp:posOffset>-1055370</wp:posOffset>
          </wp:positionH>
          <wp:positionV relativeFrom="paragraph">
            <wp:posOffset>551815</wp:posOffset>
          </wp:positionV>
          <wp:extent cx="7742555" cy="520700"/>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42555" cy="520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8400" w14:textId="77777777" w:rsidR="00B163C4" w:rsidRDefault="00B163C4" w:rsidP="002373F5">
      <w:r>
        <w:separator/>
      </w:r>
    </w:p>
  </w:footnote>
  <w:footnote w:type="continuationSeparator" w:id="0">
    <w:p w14:paraId="1C9BDCD9" w14:textId="77777777" w:rsidR="00B163C4" w:rsidRDefault="00B163C4" w:rsidP="002373F5">
      <w:r>
        <w:continuationSeparator/>
      </w:r>
    </w:p>
  </w:footnote>
  <w:footnote w:type="continuationNotice" w:id="1">
    <w:p w14:paraId="5DE68DC1" w14:textId="77777777" w:rsidR="00B163C4" w:rsidRDefault="00B16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C7A22" w14:textId="15ACC54B" w:rsidR="002373F5" w:rsidRDefault="002373F5">
    <w:pPr>
      <w:pStyle w:val="Header"/>
    </w:pPr>
    <w:r>
      <w:rPr>
        <w:noProof/>
      </w:rPr>
      <w:drawing>
        <wp:anchor distT="0" distB="0" distL="114300" distR="114300" simplePos="0" relativeHeight="251658240" behindDoc="1" locked="0" layoutInCell="1" allowOverlap="1" wp14:anchorId="419AE257" wp14:editId="5971C984">
          <wp:simplePos x="0" y="0"/>
          <wp:positionH relativeFrom="column">
            <wp:posOffset>-952500</wp:posOffset>
          </wp:positionH>
          <wp:positionV relativeFrom="paragraph">
            <wp:posOffset>-76200</wp:posOffset>
          </wp:positionV>
          <wp:extent cx="7640320" cy="1878965"/>
          <wp:effectExtent l="0" t="0" r="5080" b="0"/>
          <wp:wrapTight wrapText="bothSides">
            <wp:wrapPolygon edited="0">
              <wp:start x="0" y="0"/>
              <wp:lineTo x="0" y="15038"/>
              <wp:lineTo x="1041" y="16351"/>
              <wp:lineTo x="1041" y="19125"/>
              <wp:lineTo x="1400" y="19125"/>
              <wp:lineTo x="1436" y="18833"/>
              <wp:lineTo x="5027" y="16497"/>
              <wp:lineTo x="5852" y="16351"/>
              <wp:lineTo x="6714" y="15184"/>
              <wp:lineTo x="6678" y="11680"/>
              <wp:lineTo x="21578" y="10366"/>
              <wp:lineTo x="2157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rcRect l="509" r="509"/>
                  <a:stretch>
                    <a:fillRect/>
                  </a:stretch>
                </pic:blipFill>
                <pic:spPr bwMode="auto">
                  <a:xfrm>
                    <a:off x="0" y="0"/>
                    <a:ext cx="7640320" cy="1878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467C59" w14:textId="0A0FA800" w:rsidR="002373F5" w:rsidRDefault="00237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04D3"/>
    <w:multiLevelType w:val="hybridMultilevel"/>
    <w:tmpl w:val="692C2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224C0"/>
    <w:multiLevelType w:val="hybridMultilevel"/>
    <w:tmpl w:val="261C6D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1D294A"/>
    <w:multiLevelType w:val="hybridMultilevel"/>
    <w:tmpl w:val="8304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314CD"/>
    <w:multiLevelType w:val="multilevel"/>
    <w:tmpl w:val="45CAD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0F41F0"/>
    <w:multiLevelType w:val="hybridMultilevel"/>
    <w:tmpl w:val="4A700448"/>
    <w:lvl w:ilvl="0" w:tplc="CAF845F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255544"/>
    <w:multiLevelType w:val="hybridMultilevel"/>
    <w:tmpl w:val="D2C46A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9AD4EEC"/>
    <w:multiLevelType w:val="hybridMultilevel"/>
    <w:tmpl w:val="FDEA9F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14076EC"/>
    <w:multiLevelType w:val="hybridMultilevel"/>
    <w:tmpl w:val="347866D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481A5308"/>
    <w:multiLevelType w:val="hybridMultilevel"/>
    <w:tmpl w:val="5C50D460"/>
    <w:lvl w:ilvl="0" w:tplc="6BAC263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6FF0D34"/>
    <w:multiLevelType w:val="hybridMultilevel"/>
    <w:tmpl w:val="5D366B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FD2A18"/>
    <w:multiLevelType w:val="hybridMultilevel"/>
    <w:tmpl w:val="B9F6C7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54B93"/>
    <w:multiLevelType w:val="hybridMultilevel"/>
    <w:tmpl w:val="CBACFCA8"/>
    <w:lvl w:ilvl="0" w:tplc="CAF845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564678">
    <w:abstractNumId w:val="9"/>
  </w:num>
  <w:num w:numId="2" w16cid:durableId="2018999285">
    <w:abstractNumId w:val="10"/>
  </w:num>
  <w:num w:numId="3" w16cid:durableId="1425607921">
    <w:abstractNumId w:val="6"/>
  </w:num>
  <w:num w:numId="4" w16cid:durableId="2115202276">
    <w:abstractNumId w:val="7"/>
  </w:num>
  <w:num w:numId="5" w16cid:durableId="1841576192">
    <w:abstractNumId w:val="2"/>
  </w:num>
  <w:num w:numId="6" w16cid:durableId="2136174393">
    <w:abstractNumId w:val="5"/>
  </w:num>
  <w:num w:numId="7" w16cid:durableId="363098293">
    <w:abstractNumId w:val="3"/>
  </w:num>
  <w:num w:numId="8" w16cid:durableId="1560438173">
    <w:abstractNumId w:val="1"/>
  </w:num>
  <w:num w:numId="9" w16cid:durableId="1641153311">
    <w:abstractNumId w:val="0"/>
  </w:num>
  <w:num w:numId="10" w16cid:durableId="624387518">
    <w:abstractNumId w:val="11"/>
  </w:num>
  <w:num w:numId="11" w16cid:durableId="1689678015">
    <w:abstractNumId w:val="4"/>
  </w:num>
  <w:num w:numId="12" w16cid:durableId="1645506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72"/>
    <w:rsid w:val="0001710D"/>
    <w:rsid w:val="00027A62"/>
    <w:rsid w:val="00040E6B"/>
    <w:rsid w:val="0004655B"/>
    <w:rsid w:val="00047C40"/>
    <w:rsid w:val="000653E7"/>
    <w:rsid w:val="00083F65"/>
    <w:rsid w:val="00087404"/>
    <w:rsid w:val="00094C87"/>
    <w:rsid w:val="000952F2"/>
    <w:rsid w:val="000B1FCF"/>
    <w:rsid w:val="000C7022"/>
    <w:rsid w:val="001304C4"/>
    <w:rsid w:val="0013055E"/>
    <w:rsid w:val="001338DB"/>
    <w:rsid w:val="001443EE"/>
    <w:rsid w:val="0015166E"/>
    <w:rsid w:val="00154EE8"/>
    <w:rsid w:val="001666FD"/>
    <w:rsid w:val="001932E9"/>
    <w:rsid w:val="001A00F7"/>
    <w:rsid w:val="001A7412"/>
    <w:rsid w:val="001B11D6"/>
    <w:rsid w:val="001B7C4D"/>
    <w:rsid w:val="001C67CC"/>
    <w:rsid w:val="001E5134"/>
    <w:rsid w:val="001F59ED"/>
    <w:rsid w:val="001F719F"/>
    <w:rsid w:val="0020209B"/>
    <w:rsid w:val="00204633"/>
    <w:rsid w:val="00213465"/>
    <w:rsid w:val="002161E2"/>
    <w:rsid w:val="002373F5"/>
    <w:rsid w:val="00244086"/>
    <w:rsid w:val="00256F6F"/>
    <w:rsid w:val="002636ED"/>
    <w:rsid w:val="00291328"/>
    <w:rsid w:val="0029725F"/>
    <w:rsid w:val="002A1D9B"/>
    <w:rsid w:val="002A3580"/>
    <w:rsid w:val="002A7688"/>
    <w:rsid w:val="002B0472"/>
    <w:rsid w:val="002B203C"/>
    <w:rsid w:val="002B5236"/>
    <w:rsid w:val="002B6570"/>
    <w:rsid w:val="002C0818"/>
    <w:rsid w:val="002C2893"/>
    <w:rsid w:val="002E280F"/>
    <w:rsid w:val="002E4E49"/>
    <w:rsid w:val="002F2113"/>
    <w:rsid w:val="0031284E"/>
    <w:rsid w:val="0031573E"/>
    <w:rsid w:val="003212F3"/>
    <w:rsid w:val="003267C5"/>
    <w:rsid w:val="00331A66"/>
    <w:rsid w:val="00331DD7"/>
    <w:rsid w:val="00347119"/>
    <w:rsid w:val="00366FB5"/>
    <w:rsid w:val="00376DEC"/>
    <w:rsid w:val="003A6370"/>
    <w:rsid w:val="003B379E"/>
    <w:rsid w:val="003D1305"/>
    <w:rsid w:val="00413B95"/>
    <w:rsid w:val="00415717"/>
    <w:rsid w:val="004317EB"/>
    <w:rsid w:val="00431B48"/>
    <w:rsid w:val="00444E34"/>
    <w:rsid w:val="0046677E"/>
    <w:rsid w:val="00482245"/>
    <w:rsid w:val="004917B1"/>
    <w:rsid w:val="004A79DA"/>
    <w:rsid w:val="004E75D1"/>
    <w:rsid w:val="004E76E7"/>
    <w:rsid w:val="004F3E72"/>
    <w:rsid w:val="005142A0"/>
    <w:rsid w:val="00514F06"/>
    <w:rsid w:val="005504A6"/>
    <w:rsid w:val="00554315"/>
    <w:rsid w:val="00564E88"/>
    <w:rsid w:val="00567F6F"/>
    <w:rsid w:val="005952AA"/>
    <w:rsid w:val="005A4863"/>
    <w:rsid w:val="005C534D"/>
    <w:rsid w:val="005C5C12"/>
    <w:rsid w:val="005C6295"/>
    <w:rsid w:val="005E5055"/>
    <w:rsid w:val="006177F7"/>
    <w:rsid w:val="006210D2"/>
    <w:rsid w:val="00626661"/>
    <w:rsid w:val="0063072F"/>
    <w:rsid w:val="00630B76"/>
    <w:rsid w:val="00643E70"/>
    <w:rsid w:val="006625C5"/>
    <w:rsid w:val="0067373E"/>
    <w:rsid w:val="006A6430"/>
    <w:rsid w:val="006E1F5D"/>
    <w:rsid w:val="006F34E3"/>
    <w:rsid w:val="00712287"/>
    <w:rsid w:val="00713B05"/>
    <w:rsid w:val="007315E1"/>
    <w:rsid w:val="00757CDE"/>
    <w:rsid w:val="00765402"/>
    <w:rsid w:val="00774CB7"/>
    <w:rsid w:val="00776874"/>
    <w:rsid w:val="007C080D"/>
    <w:rsid w:val="007C7D60"/>
    <w:rsid w:val="007E7A96"/>
    <w:rsid w:val="007F548A"/>
    <w:rsid w:val="00803D00"/>
    <w:rsid w:val="00822AF1"/>
    <w:rsid w:val="008306AF"/>
    <w:rsid w:val="008414AD"/>
    <w:rsid w:val="00852E22"/>
    <w:rsid w:val="008B0CE3"/>
    <w:rsid w:val="008B3452"/>
    <w:rsid w:val="009219B9"/>
    <w:rsid w:val="009315DB"/>
    <w:rsid w:val="0094380E"/>
    <w:rsid w:val="009457C2"/>
    <w:rsid w:val="00953648"/>
    <w:rsid w:val="009828E1"/>
    <w:rsid w:val="00991BF8"/>
    <w:rsid w:val="00996F15"/>
    <w:rsid w:val="009A5132"/>
    <w:rsid w:val="009C47F4"/>
    <w:rsid w:val="00A1105E"/>
    <w:rsid w:val="00A377E2"/>
    <w:rsid w:val="00A55A40"/>
    <w:rsid w:val="00A82260"/>
    <w:rsid w:val="00AA0480"/>
    <w:rsid w:val="00AA2BFC"/>
    <w:rsid w:val="00AB3BCE"/>
    <w:rsid w:val="00AC2858"/>
    <w:rsid w:val="00AC3041"/>
    <w:rsid w:val="00B07BC7"/>
    <w:rsid w:val="00B10AE6"/>
    <w:rsid w:val="00B12D17"/>
    <w:rsid w:val="00B163C4"/>
    <w:rsid w:val="00B2156F"/>
    <w:rsid w:val="00B31AA6"/>
    <w:rsid w:val="00B33C27"/>
    <w:rsid w:val="00B51435"/>
    <w:rsid w:val="00B65E5E"/>
    <w:rsid w:val="00B71D84"/>
    <w:rsid w:val="00B77EA1"/>
    <w:rsid w:val="00B93232"/>
    <w:rsid w:val="00BA3F50"/>
    <w:rsid w:val="00BB1ED2"/>
    <w:rsid w:val="00BC5F05"/>
    <w:rsid w:val="00BD22A5"/>
    <w:rsid w:val="00BE0812"/>
    <w:rsid w:val="00BF4EEE"/>
    <w:rsid w:val="00C14846"/>
    <w:rsid w:val="00C15910"/>
    <w:rsid w:val="00C54F09"/>
    <w:rsid w:val="00C72AC9"/>
    <w:rsid w:val="00C73560"/>
    <w:rsid w:val="00C86FCB"/>
    <w:rsid w:val="00C87103"/>
    <w:rsid w:val="00C924AF"/>
    <w:rsid w:val="00CC5085"/>
    <w:rsid w:val="00CF7589"/>
    <w:rsid w:val="00D05CEC"/>
    <w:rsid w:val="00D06ED2"/>
    <w:rsid w:val="00D27D71"/>
    <w:rsid w:val="00D32EAC"/>
    <w:rsid w:val="00D56ECB"/>
    <w:rsid w:val="00D57D1C"/>
    <w:rsid w:val="00D63487"/>
    <w:rsid w:val="00D72C0D"/>
    <w:rsid w:val="00D72D1B"/>
    <w:rsid w:val="00D942F2"/>
    <w:rsid w:val="00DA7567"/>
    <w:rsid w:val="00DB511F"/>
    <w:rsid w:val="00DC3355"/>
    <w:rsid w:val="00DC71CA"/>
    <w:rsid w:val="00DE04D5"/>
    <w:rsid w:val="00DE4E41"/>
    <w:rsid w:val="00DE7FBD"/>
    <w:rsid w:val="00DF042B"/>
    <w:rsid w:val="00E0460E"/>
    <w:rsid w:val="00E06A02"/>
    <w:rsid w:val="00E06FB4"/>
    <w:rsid w:val="00E10B42"/>
    <w:rsid w:val="00E17791"/>
    <w:rsid w:val="00E4531D"/>
    <w:rsid w:val="00E71391"/>
    <w:rsid w:val="00E7486C"/>
    <w:rsid w:val="00E94B85"/>
    <w:rsid w:val="00EA6438"/>
    <w:rsid w:val="00ED4628"/>
    <w:rsid w:val="00ED6D7E"/>
    <w:rsid w:val="00EF6D1E"/>
    <w:rsid w:val="00F24E44"/>
    <w:rsid w:val="00F57C39"/>
    <w:rsid w:val="00F62BA2"/>
    <w:rsid w:val="00F75343"/>
    <w:rsid w:val="00F9710D"/>
    <w:rsid w:val="00FA3658"/>
    <w:rsid w:val="00FB271E"/>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D5411"/>
  <w15:chartTrackingRefBased/>
  <w15:docId w15:val="{9F58A956-8A91-534E-9007-DD29124A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F5"/>
    <w:pPr>
      <w:tabs>
        <w:tab w:val="center" w:pos="4513"/>
        <w:tab w:val="right" w:pos="9026"/>
      </w:tabs>
    </w:pPr>
  </w:style>
  <w:style w:type="character" w:customStyle="1" w:styleId="HeaderChar">
    <w:name w:val="Header Char"/>
    <w:basedOn w:val="DefaultParagraphFont"/>
    <w:link w:val="Header"/>
    <w:uiPriority w:val="99"/>
    <w:rsid w:val="002373F5"/>
  </w:style>
  <w:style w:type="paragraph" w:styleId="Footer">
    <w:name w:val="footer"/>
    <w:basedOn w:val="Normal"/>
    <w:link w:val="FooterChar"/>
    <w:uiPriority w:val="99"/>
    <w:unhideWhenUsed/>
    <w:rsid w:val="002373F5"/>
    <w:pPr>
      <w:tabs>
        <w:tab w:val="center" w:pos="4513"/>
        <w:tab w:val="right" w:pos="9026"/>
      </w:tabs>
    </w:pPr>
  </w:style>
  <w:style w:type="character" w:customStyle="1" w:styleId="FooterChar">
    <w:name w:val="Footer Char"/>
    <w:basedOn w:val="DefaultParagraphFont"/>
    <w:link w:val="Footer"/>
    <w:uiPriority w:val="99"/>
    <w:rsid w:val="002373F5"/>
  </w:style>
  <w:style w:type="character" w:styleId="Hyperlink">
    <w:name w:val="Hyperlink"/>
    <w:basedOn w:val="DefaultParagraphFont"/>
    <w:uiPriority w:val="99"/>
    <w:unhideWhenUsed/>
    <w:rsid w:val="008B3452"/>
    <w:rPr>
      <w:color w:val="0563C1" w:themeColor="hyperlink"/>
      <w:u w:val="single"/>
    </w:rPr>
  </w:style>
  <w:style w:type="character" w:styleId="UnresolvedMention">
    <w:name w:val="Unresolved Mention"/>
    <w:basedOn w:val="DefaultParagraphFont"/>
    <w:uiPriority w:val="99"/>
    <w:semiHidden/>
    <w:unhideWhenUsed/>
    <w:rsid w:val="008B3452"/>
    <w:rPr>
      <w:color w:val="605E5C"/>
      <w:shd w:val="clear" w:color="auto" w:fill="E1DFDD"/>
    </w:rPr>
  </w:style>
  <w:style w:type="character" w:styleId="FollowedHyperlink">
    <w:name w:val="FollowedHyperlink"/>
    <w:basedOn w:val="DefaultParagraphFont"/>
    <w:uiPriority w:val="99"/>
    <w:semiHidden/>
    <w:unhideWhenUsed/>
    <w:rsid w:val="008B3452"/>
    <w:rPr>
      <w:color w:val="954F72" w:themeColor="followedHyperlink"/>
      <w:u w:val="single"/>
    </w:rPr>
  </w:style>
  <w:style w:type="paragraph" w:styleId="ListParagraph">
    <w:name w:val="List Paragraph"/>
    <w:basedOn w:val="Normal"/>
    <w:uiPriority w:val="34"/>
    <w:qFormat/>
    <w:rsid w:val="001A7412"/>
    <w:pPr>
      <w:spacing w:after="160" w:line="259" w:lineRule="auto"/>
      <w:ind w:left="720"/>
      <w:contextualSpacing/>
    </w:pPr>
    <w:rPr>
      <w:sz w:val="22"/>
      <w:szCs w:val="22"/>
      <w:lang w:val="en-GB"/>
    </w:rPr>
  </w:style>
  <w:style w:type="paragraph" w:styleId="Date">
    <w:name w:val="Date"/>
    <w:basedOn w:val="Normal"/>
    <w:next w:val="Normal"/>
    <w:link w:val="DateChar"/>
    <w:uiPriority w:val="99"/>
    <w:semiHidden/>
    <w:unhideWhenUsed/>
    <w:rsid w:val="00DE4E41"/>
  </w:style>
  <w:style w:type="character" w:customStyle="1" w:styleId="DateChar">
    <w:name w:val="Date Char"/>
    <w:basedOn w:val="DefaultParagraphFont"/>
    <w:link w:val="Date"/>
    <w:uiPriority w:val="99"/>
    <w:semiHidden/>
    <w:rsid w:val="00DE4E41"/>
  </w:style>
  <w:style w:type="character" w:styleId="FootnoteReference">
    <w:name w:val="footnote reference"/>
    <w:basedOn w:val="DefaultParagraphFont"/>
    <w:uiPriority w:val="99"/>
    <w:semiHidden/>
    <w:unhideWhenUsed/>
    <w:rsid w:val="00D942F2"/>
    <w:rPr>
      <w:vertAlign w:val="superscript"/>
    </w:rPr>
  </w:style>
  <w:style w:type="paragraph" w:styleId="FootnoteText">
    <w:name w:val="footnote text"/>
    <w:basedOn w:val="Normal"/>
    <w:link w:val="FootnoteTextChar"/>
    <w:uiPriority w:val="99"/>
    <w:semiHidden/>
    <w:unhideWhenUsed/>
    <w:rsid w:val="003D1305"/>
    <w:rPr>
      <w:sz w:val="20"/>
      <w:szCs w:val="20"/>
    </w:rPr>
  </w:style>
  <w:style w:type="character" w:customStyle="1" w:styleId="FootnoteTextChar">
    <w:name w:val="Footnote Text Char"/>
    <w:basedOn w:val="DefaultParagraphFont"/>
    <w:link w:val="FootnoteText"/>
    <w:uiPriority w:val="99"/>
    <w:semiHidden/>
    <w:rsid w:val="003D1305"/>
    <w:rPr>
      <w:sz w:val="20"/>
      <w:szCs w:val="20"/>
    </w:rPr>
  </w:style>
  <w:style w:type="character" w:styleId="Strong">
    <w:name w:val="Strong"/>
    <w:basedOn w:val="DefaultParagraphFont"/>
    <w:uiPriority w:val="22"/>
    <w:qFormat/>
    <w:rsid w:val="001E5134"/>
    <w:rPr>
      <w:b/>
      <w:bCs/>
    </w:rPr>
  </w:style>
  <w:style w:type="paragraph" w:styleId="NoSpacing">
    <w:name w:val="No Spacing"/>
    <w:uiPriority w:val="1"/>
    <w:qFormat/>
    <w:rsid w:val="002B203C"/>
    <w:rPr>
      <w:kern w:val="2"/>
      <w:sz w:val="22"/>
      <w:szCs w:val="22"/>
      <w:lang w:val="en-AE"/>
      <w14:ligatures w14:val="standardContextual"/>
    </w:rPr>
  </w:style>
  <w:style w:type="table" w:styleId="TableGrid">
    <w:name w:val="Table Grid"/>
    <w:basedOn w:val="TableNormal"/>
    <w:uiPriority w:val="39"/>
    <w:rsid w:val="003212F3"/>
    <w:rPr>
      <w:kern w:val="2"/>
      <w:sz w:val="22"/>
      <w:szCs w:val="22"/>
      <w:lang w:val="en-A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19129">
      <w:bodyDiv w:val="1"/>
      <w:marLeft w:val="0"/>
      <w:marRight w:val="0"/>
      <w:marTop w:val="0"/>
      <w:marBottom w:val="0"/>
      <w:divBdr>
        <w:top w:val="none" w:sz="0" w:space="0" w:color="auto"/>
        <w:left w:val="none" w:sz="0" w:space="0" w:color="auto"/>
        <w:bottom w:val="none" w:sz="0" w:space="0" w:color="auto"/>
        <w:right w:val="none" w:sz="0" w:space="0" w:color="auto"/>
      </w:divBdr>
    </w:div>
    <w:div w:id="17647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dtos-mu.com" TargetMode="External"/><Relationship Id="rId18" Type="http://schemas.openxmlformats.org/officeDocument/2006/relationships/hyperlink" Target="mailto:info@dtos-mu.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nfo@dtos-mu.com" TargetMode="External"/><Relationship Id="rId2" Type="http://schemas.openxmlformats.org/officeDocument/2006/relationships/customXml" Target="../customXml/item2.xml"/><Relationship Id="rId16" Type="http://schemas.openxmlformats.org/officeDocument/2006/relationships/hyperlink" Target="mailto:info@dtos-mu.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dtos-mu.com" TargetMode="External"/><Relationship Id="rId10" Type="http://schemas.openxmlformats.org/officeDocument/2006/relationships/image" Target="media/image1.emf"/><Relationship Id="rId19" Type="http://schemas.openxmlformats.org/officeDocument/2006/relationships/hyperlink" Target="mailto:info@dtos-mu.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dtos-mu.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69e730-5918-4cf9-aa17-7bb5e550f5d9">
      <UserInfo>
        <DisplayName>Surya Foollee</DisplayName>
        <AccountId>13</AccountId>
        <AccountType/>
      </UserInfo>
      <UserInfo>
        <DisplayName>Bryan Obeegadoo</DisplayName>
        <AccountId>385</AccountId>
        <AccountType/>
      </UserInfo>
      <UserInfo>
        <DisplayName>Sandrine Lauratet</DisplayName>
        <AccountId>15</AccountId>
        <AccountType/>
      </UserInfo>
    </SharedWithUsers>
    <lcf76f155ced4ddcb4097134ff3c332f xmlns="d17d7345-026d-42e9-9c57-2ece1f126805">
      <Terms xmlns="http://schemas.microsoft.com/office/infopath/2007/PartnerControls"/>
    </lcf76f155ced4ddcb4097134ff3c332f>
    <TaxCatchAll xmlns="5d69e730-5918-4cf9-aa17-7bb5e550f5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5A7C9F4E2864BA44FAF7162D093D8" ma:contentTypeVersion="22" ma:contentTypeDescription="Create a new document." ma:contentTypeScope="" ma:versionID="0db29dfa820e12348dcc498fdcb43a9b">
  <xsd:schema xmlns:xsd="http://www.w3.org/2001/XMLSchema" xmlns:xs="http://www.w3.org/2001/XMLSchema" xmlns:p="http://schemas.microsoft.com/office/2006/metadata/properties" xmlns:ns2="d17d7345-026d-42e9-9c57-2ece1f126805" xmlns:ns3="5d69e730-5918-4cf9-aa17-7bb5e550f5d9" targetNamespace="http://schemas.microsoft.com/office/2006/metadata/properties" ma:root="true" ma:fieldsID="3f8b912e7715ad903a368535826e3a80" ns2:_="" ns3:_="">
    <xsd:import namespace="d17d7345-026d-42e9-9c57-2ece1f126805"/>
    <xsd:import namespace="5d69e730-5918-4cf9-aa17-7bb5e550f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d7345-026d-42e9-9c57-2ece1f126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80df85e-2642-4c9a-bbfd-c0a2bcc2e4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69e730-5918-4cf9-aa17-7bb5e550f5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3782b9-abea-4b0d-805b-99d94db4da91}" ma:internalName="TaxCatchAll" ma:showField="CatchAllData" ma:web="5d69e730-5918-4cf9-aa17-7bb5e550f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C8FE7-0CE1-40CB-9387-CBB08A365027}">
  <ds:schemaRefs>
    <ds:schemaRef ds:uri="http://schemas.microsoft.com/office/2006/metadata/properties"/>
    <ds:schemaRef ds:uri="http://schemas.microsoft.com/office/infopath/2007/PartnerControls"/>
    <ds:schemaRef ds:uri="5d69e730-5918-4cf9-aa17-7bb5e550f5d9"/>
    <ds:schemaRef ds:uri="d17d7345-026d-42e9-9c57-2ece1f126805"/>
  </ds:schemaRefs>
</ds:datastoreItem>
</file>

<file path=customXml/itemProps2.xml><?xml version="1.0" encoding="utf-8"?>
<ds:datastoreItem xmlns:ds="http://schemas.openxmlformats.org/officeDocument/2006/customXml" ds:itemID="{FA43E7B3-F210-42A3-93FB-0E44F39784C2}">
  <ds:schemaRefs>
    <ds:schemaRef ds:uri="http://schemas.microsoft.com/sharepoint/v3/contenttype/forms"/>
  </ds:schemaRefs>
</ds:datastoreItem>
</file>

<file path=customXml/itemProps3.xml><?xml version="1.0" encoding="utf-8"?>
<ds:datastoreItem xmlns:ds="http://schemas.openxmlformats.org/officeDocument/2006/customXml" ds:itemID="{1CBCEB67-2536-4DF1-9CD3-8A31FEFFB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d7345-026d-42e9-9c57-2ece1f126805"/>
    <ds:schemaRef ds:uri="5d69e730-5918-4cf9-aa17-7bb5e550f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Cread Cread</dc:creator>
  <cp:keywords/>
  <dc:description/>
  <cp:lastModifiedBy>Surya Foollee</cp:lastModifiedBy>
  <cp:revision>2</cp:revision>
  <cp:lastPrinted>2023-06-21T09:11:00Z</cp:lastPrinted>
  <dcterms:created xsi:type="dcterms:W3CDTF">2024-05-17T07:08:00Z</dcterms:created>
  <dcterms:modified xsi:type="dcterms:W3CDTF">2024-05-17T07:08:00Z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0x0101007D95A7C9F4E2864BA44FAF7162D093D8</vt:lpwstr>
  </property>
  <property fmtid="{D5CDD505-2E9C-101B-9397-08002B2CF9AE}" pid="3" name="MediaServiceImageTags">
    <vt:lpwstr/>
  </property>
</Properties>
</file>