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93C97" w14:textId="50CED41D" w:rsidR="00F75343" w:rsidRDefault="006C78CE" w:rsidP="00C924AF">
      <w:pPr>
        <w:spacing w:after="240"/>
        <w:ind w:right="440"/>
        <w:jc w:val="right"/>
        <w:rPr>
          <w:rFonts w:asciiTheme="majorHAnsi" w:hAnsiTheme="majorHAnsi" w:cstheme="majorHAnsi"/>
          <w:color w:val="002060"/>
          <w:sz w:val="22"/>
          <w:szCs w:val="22"/>
          <w:lang w:val="en-US"/>
        </w:rPr>
      </w:pPr>
      <w:r>
        <w:rPr>
          <w:rFonts w:asciiTheme="majorHAnsi" w:hAnsiTheme="majorHAnsi" w:cstheme="majorHAnsi"/>
          <w:color w:val="002060"/>
          <w:sz w:val="22"/>
          <w:szCs w:val="22"/>
          <w:lang w:val="en-US"/>
        </w:rPr>
        <w:t>2</w:t>
      </w:r>
      <w:r w:rsidR="005462F9">
        <w:rPr>
          <w:rFonts w:asciiTheme="majorHAnsi" w:hAnsiTheme="majorHAnsi" w:cstheme="majorHAnsi"/>
          <w:color w:val="002060"/>
          <w:sz w:val="22"/>
          <w:szCs w:val="22"/>
          <w:lang w:val="en-US"/>
        </w:rPr>
        <w:t>0</w:t>
      </w:r>
      <w:r w:rsidR="002B203C">
        <w:rPr>
          <w:rFonts w:asciiTheme="majorHAnsi" w:hAnsiTheme="majorHAnsi" w:cstheme="majorHAnsi"/>
          <w:color w:val="002060"/>
          <w:sz w:val="22"/>
          <w:szCs w:val="22"/>
          <w:lang w:val="en-US"/>
        </w:rPr>
        <w:t xml:space="preserve"> </w:t>
      </w:r>
      <w:r w:rsidR="005462F9">
        <w:rPr>
          <w:rFonts w:asciiTheme="majorHAnsi" w:hAnsiTheme="majorHAnsi" w:cstheme="majorHAnsi"/>
          <w:color w:val="002060"/>
          <w:sz w:val="22"/>
          <w:szCs w:val="22"/>
          <w:lang w:val="en-US"/>
        </w:rPr>
        <w:t>June</w:t>
      </w:r>
      <w:r w:rsidR="00C73560" w:rsidRPr="00D05CEC">
        <w:rPr>
          <w:rFonts w:asciiTheme="majorHAnsi" w:hAnsiTheme="majorHAnsi" w:cstheme="majorHAnsi"/>
          <w:color w:val="002060"/>
          <w:sz w:val="22"/>
          <w:szCs w:val="22"/>
          <w:lang w:val="en-US"/>
        </w:rPr>
        <w:t xml:space="preserve"> 202</w:t>
      </w:r>
      <w:r w:rsidR="002C7C57">
        <w:rPr>
          <w:rFonts w:asciiTheme="majorHAnsi" w:hAnsiTheme="majorHAnsi" w:cstheme="majorHAnsi"/>
          <w:color w:val="002060"/>
          <w:sz w:val="22"/>
          <w:szCs w:val="22"/>
          <w:lang w:val="en-US"/>
        </w:rPr>
        <w:t>4</w:t>
      </w:r>
    </w:p>
    <w:p w14:paraId="524A22EF" w14:textId="77777777" w:rsidR="00E06A02" w:rsidRDefault="00E06A02" w:rsidP="00E06A02">
      <w:pPr>
        <w:jc w:val="center"/>
        <w:rPr>
          <w:rFonts w:asciiTheme="majorHAnsi" w:hAnsiTheme="majorHAnsi" w:cstheme="majorHAnsi"/>
          <w:b/>
          <w:bCs/>
          <w:color w:val="002060"/>
          <w:sz w:val="22"/>
          <w:szCs w:val="22"/>
          <w:lang w:val="en-US"/>
        </w:rPr>
      </w:pPr>
    </w:p>
    <w:p w14:paraId="12CE72A9" w14:textId="77777777" w:rsidR="00E06A02" w:rsidRDefault="00E06A02" w:rsidP="00E06A02">
      <w:pPr>
        <w:jc w:val="center"/>
        <w:rPr>
          <w:rFonts w:asciiTheme="majorHAnsi" w:hAnsiTheme="majorHAnsi" w:cstheme="majorHAnsi"/>
          <w:b/>
          <w:bCs/>
          <w:color w:val="002060"/>
          <w:sz w:val="22"/>
          <w:szCs w:val="22"/>
          <w:lang w:val="en-US"/>
        </w:rPr>
      </w:pPr>
    </w:p>
    <w:p w14:paraId="771C92EC" w14:textId="4E160E2B" w:rsidR="005462F9" w:rsidRPr="001F5A76" w:rsidRDefault="005462F9" w:rsidP="006C78CE">
      <w:pPr>
        <w:jc w:val="center"/>
        <w:rPr>
          <w:rFonts w:asciiTheme="majorHAnsi" w:hAnsiTheme="majorHAnsi" w:cstheme="majorHAnsi"/>
          <w:b/>
          <w:bCs/>
          <w:color w:val="002060"/>
          <w:lang w:val="en-US"/>
        </w:rPr>
      </w:pPr>
      <w:r w:rsidRPr="001F5A76">
        <w:rPr>
          <w:rFonts w:asciiTheme="majorHAnsi" w:hAnsiTheme="majorHAnsi" w:cstheme="majorHAnsi"/>
          <w:b/>
          <w:bCs/>
          <w:color w:val="002060"/>
          <w:lang w:val="en-US"/>
        </w:rPr>
        <w:t>Lesson</w:t>
      </w:r>
      <w:r w:rsidR="00825CAF">
        <w:rPr>
          <w:rFonts w:asciiTheme="majorHAnsi" w:hAnsiTheme="majorHAnsi" w:cstheme="majorHAnsi"/>
          <w:b/>
          <w:bCs/>
          <w:color w:val="002060"/>
          <w:lang w:val="en-US"/>
        </w:rPr>
        <w:t>s</w:t>
      </w:r>
      <w:r w:rsidR="004A2881">
        <w:rPr>
          <w:rFonts w:asciiTheme="majorHAnsi" w:hAnsiTheme="majorHAnsi" w:cstheme="majorHAnsi"/>
          <w:b/>
          <w:bCs/>
          <w:color w:val="002060"/>
          <w:lang w:val="en-US"/>
        </w:rPr>
        <w:t xml:space="preserve"> learned</w:t>
      </w:r>
      <w:r w:rsidRPr="001F5A76">
        <w:rPr>
          <w:rFonts w:asciiTheme="majorHAnsi" w:hAnsiTheme="majorHAnsi" w:cstheme="majorHAnsi"/>
          <w:b/>
          <w:bCs/>
          <w:color w:val="002060"/>
          <w:lang w:val="en-US"/>
        </w:rPr>
        <w:t xml:space="preserve"> from an interesting </w:t>
      </w:r>
      <w:r w:rsidR="00825CAF">
        <w:rPr>
          <w:rFonts w:asciiTheme="majorHAnsi" w:hAnsiTheme="majorHAnsi" w:cstheme="majorHAnsi"/>
          <w:b/>
          <w:bCs/>
          <w:color w:val="002060"/>
          <w:lang w:val="en-US"/>
        </w:rPr>
        <w:t xml:space="preserve">Mauritius Supreme Court </w:t>
      </w:r>
      <w:r w:rsidRPr="001F5A76">
        <w:rPr>
          <w:rFonts w:asciiTheme="majorHAnsi" w:hAnsiTheme="majorHAnsi" w:cstheme="majorHAnsi"/>
          <w:b/>
          <w:bCs/>
          <w:color w:val="002060"/>
          <w:lang w:val="en-US"/>
        </w:rPr>
        <w:t>Case Law</w:t>
      </w:r>
      <w:r w:rsidR="001F5A76" w:rsidRPr="001F5A76">
        <w:rPr>
          <w:rFonts w:asciiTheme="majorHAnsi" w:hAnsiTheme="majorHAnsi" w:cstheme="majorHAnsi"/>
          <w:b/>
          <w:bCs/>
          <w:color w:val="002060"/>
          <w:lang w:val="en-US"/>
        </w:rPr>
        <w:t xml:space="preserve"> -</w:t>
      </w:r>
    </w:p>
    <w:p w14:paraId="301B5594" w14:textId="60DD19A4" w:rsidR="006C78CE" w:rsidRPr="006C78CE" w:rsidRDefault="00825CAF" w:rsidP="006C78CE">
      <w:pPr>
        <w:jc w:val="center"/>
        <w:rPr>
          <w:rFonts w:asciiTheme="majorHAnsi" w:hAnsiTheme="majorHAnsi" w:cstheme="majorHAnsi"/>
          <w:b/>
          <w:bCs/>
          <w:color w:val="002060"/>
          <w:lang w:val="en-US"/>
        </w:rPr>
      </w:pPr>
      <w:proofErr w:type="spellStart"/>
      <w:r>
        <w:rPr>
          <w:rFonts w:asciiTheme="majorHAnsi" w:hAnsiTheme="majorHAnsi" w:cstheme="majorHAnsi"/>
          <w:b/>
          <w:bCs/>
          <w:color w:val="002060"/>
          <w:lang w:val="en-US"/>
        </w:rPr>
        <w:t>Krong</w:t>
      </w:r>
      <w:proofErr w:type="spellEnd"/>
      <w:r>
        <w:rPr>
          <w:rFonts w:asciiTheme="majorHAnsi" w:hAnsiTheme="majorHAnsi" w:cstheme="majorHAnsi"/>
          <w:b/>
          <w:bCs/>
          <w:color w:val="002060"/>
          <w:lang w:val="en-US"/>
        </w:rPr>
        <w:t xml:space="preserve"> On Leung </w:t>
      </w:r>
      <w:r w:rsidR="005462F9" w:rsidRPr="001F5A76">
        <w:rPr>
          <w:rFonts w:asciiTheme="majorHAnsi" w:hAnsiTheme="majorHAnsi" w:cstheme="majorHAnsi"/>
          <w:b/>
          <w:bCs/>
          <w:color w:val="002060"/>
          <w:lang w:val="en-US"/>
        </w:rPr>
        <w:t>PAH Hang v</w:t>
      </w:r>
      <w:r w:rsidR="004A2881">
        <w:rPr>
          <w:rFonts w:asciiTheme="majorHAnsi" w:hAnsiTheme="majorHAnsi" w:cstheme="majorHAnsi"/>
          <w:b/>
          <w:bCs/>
          <w:color w:val="002060"/>
          <w:lang w:val="en-US"/>
        </w:rPr>
        <w:t>ersus</w:t>
      </w:r>
      <w:r w:rsidR="005462F9" w:rsidRPr="001F5A76">
        <w:rPr>
          <w:rFonts w:asciiTheme="majorHAnsi" w:hAnsiTheme="majorHAnsi" w:cstheme="majorHAnsi"/>
          <w:b/>
          <w:bCs/>
          <w:color w:val="002060"/>
          <w:lang w:val="en-US"/>
        </w:rPr>
        <w:t xml:space="preserve"> </w:t>
      </w:r>
      <w:r w:rsidR="004A2881">
        <w:rPr>
          <w:rFonts w:asciiTheme="majorHAnsi" w:hAnsiTheme="majorHAnsi" w:cstheme="majorHAnsi"/>
          <w:b/>
          <w:bCs/>
          <w:color w:val="002060"/>
          <w:lang w:val="en-US"/>
        </w:rPr>
        <w:t>T</w:t>
      </w:r>
      <w:r w:rsidR="005462F9" w:rsidRPr="001F5A76">
        <w:rPr>
          <w:rFonts w:asciiTheme="majorHAnsi" w:hAnsiTheme="majorHAnsi" w:cstheme="majorHAnsi"/>
          <w:b/>
          <w:bCs/>
          <w:color w:val="002060"/>
          <w:lang w:val="en-US"/>
        </w:rPr>
        <w:t xml:space="preserve">he </w:t>
      </w:r>
      <w:r w:rsidR="006C78CE" w:rsidRPr="001F5A76">
        <w:rPr>
          <w:rFonts w:asciiTheme="majorHAnsi" w:hAnsiTheme="majorHAnsi" w:cstheme="majorHAnsi"/>
          <w:b/>
          <w:bCs/>
          <w:color w:val="002060"/>
          <w:lang w:val="en-US"/>
        </w:rPr>
        <w:t xml:space="preserve">Mauritius </w:t>
      </w:r>
      <w:r w:rsidR="005462F9" w:rsidRPr="001F5A76">
        <w:rPr>
          <w:rFonts w:asciiTheme="majorHAnsi" w:hAnsiTheme="majorHAnsi" w:cstheme="majorHAnsi"/>
          <w:b/>
          <w:bCs/>
          <w:color w:val="002060"/>
          <w:lang w:val="en-US"/>
        </w:rPr>
        <w:t>Revenue Authority (MRA)</w:t>
      </w:r>
    </w:p>
    <w:p w14:paraId="195F4ED1" w14:textId="23AED174" w:rsidR="00371972" w:rsidRPr="006C78CE" w:rsidRDefault="00371972" w:rsidP="004C0E89">
      <w:pPr>
        <w:jc w:val="center"/>
        <w:rPr>
          <w:rFonts w:asciiTheme="majorHAnsi" w:hAnsiTheme="majorHAnsi" w:cstheme="majorHAnsi"/>
          <w:b/>
          <w:bCs/>
          <w:color w:val="002060"/>
          <w:lang w:val="en-US"/>
        </w:rPr>
      </w:pPr>
    </w:p>
    <w:p w14:paraId="7B193181" w14:textId="77777777" w:rsidR="005462F9" w:rsidRDefault="005462F9" w:rsidP="005462F9">
      <w:pPr>
        <w:rPr>
          <w:b/>
          <w:bCs/>
          <w:lang w:val="en-GB"/>
        </w:rPr>
      </w:pPr>
    </w:p>
    <w:p w14:paraId="22E7FEB3" w14:textId="28F8A67D" w:rsidR="005462F9" w:rsidRDefault="005462F9" w:rsidP="005462F9">
      <w:pPr>
        <w:jc w:val="both"/>
        <w:rPr>
          <w:rFonts w:asciiTheme="majorHAnsi" w:hAnsiTheme="majorHAnsi" w:cstheme="majorHAnsi"/>
          <w:color w:val="002060"/>
          <w:sz w:val="22"/>
          <w:szCs w:val="22"/>
          <w:lang w:val="en-US"/>
        </w:rPr>
      </w:pPr>
      <w:r w:rsidRPr="005462F9">
        <w:rPr>
          <w:rFonts w:asciiTheme="majorHAnsi" w:hAnsiTheme="majorHAnsi" w:cstheme="majorHAnsi"/>
          <w:color w:val="002060"/>
          <w:sz w:val="22"/>
          <w:szCs w:val="22"/>
          <w:lang w:val="en-US"/>
        </w:rPr>
        <w:t xml:space="preserve">The landmark decision in the matter of </w:t>
      </w:r>
      <w:r w:rsidR="00825CAF">
        <w:rPr>
          <w:rFonts w:asciiTheme="majorHAnsi" w:hAnsiTheme="majorHAnsi" w:cstheme="majorHAnsi"/>
          <w:color w:val="002060"/>
          <w:sz w:val="22"/>
          <w:szCs w:val="22"/>
          <w:lang w:val="en-US"/>
        </w:rPr>
        <w:t xml:space="preserve">K O Leung </w:t>
      </w:r>
      <w:r w:rsidRPr="005462F9">
        <w:rPr>
          <w:rFonts w:asciiTheme="majorHAnsi" w:hAnsiTheme="majorHAnsi" w:cstheme="majorHAnsi"/>
          <w:color w:val="002060"/>
          <w:sz w:val="22"/>
          <w:szCs w:val="22"/>
          <w:lang w:val="en-US"/>
        </w:rPr>
        <w:t xml:space="preserve">PAH Hang v The Mauritius Revenue Authority (MRA) issued in 2007 is instrumental in shedding light on the responsibility of tax authorities to review, without prejudice, the furnished documentation in support of a tax </w:t>
      </w:r>
      <w:r w:rsidR="00781FB4">
        <w:rPr>
          <w:rFonts w:asciiTheme="majorHAnsi" w:hAnsiTheme="majorHAnsi" w:cstheme="majorHAnsi"/>
          <w:color w:val="002060"/>
          <w:sz w:val="22"/>
          <w:szCs w:val="22"/>
          <w:lang w:val="en-US"/>
        </w:rPr>
        <w:t>assessment</w:t>
      </w:r>
      <w:r w:rsidRPr="005462F9">
        <w:rPr>
          <w:rFonts w:asciiTheme="majorHAnsi" w:hAnsiTheme="majorHAnsi" w:cstheme="majorHAnsi"/>
          <w:color w:val="002060"/>
          <w:sz w:val="22"/>
          <w:szCs w:val="22"/>
          <w:lang w:val="en-US"/>
        </w:rPr>
        <w:t>.</w:t>
      </w:r>
    </w:p>
    <w:p w14:paraId="0A425D8D" w14:textId="77777777" w:rsidR="005462F9" w:rsidRDefault="005462F9" w:rsidP="005462F9">
      <w:pPr>
        <w:jc w:val="both"/>
        <w:rPr>
          <w:rFonts w:asciiTheme="majorHAnsi" w:hAnsiTheme="majorHAnsi" w:cstheme="majorHAnsi"/>
          <w:color w:val="002060"/>
          <w:sz w:val="22"/>
          <w:szCs w:val="22"/>
          <w:lang w:val="en-US"/>
        </w:rPr>
      </w:pPr>
    </w:p>
    <w:p w14:paraId="1089218D" w14:textId="0C76B5B1" w:rsidR="005462F9" w:rsidRDefault="005462F9" w:rsidP="005462F9">
      <w:pPr>
        <w:jc w:val="both"/>
        <w:rPr>
          <w:rFonts w:asciiTheme="majorHAnsi" w:hAnsiTheme="majorHAnsi" w:cstheme="majorHAnsi"/>
          <w:color w:val="002060"/>
          <w:sz w:val="22"/>
          <w:szCs w:val="22"/>
          <w:lang w:val="en-US"/>
        </w:rPr>
      </w:pPr>
      <w:r w:rsidRPr="005462F9">
        <w:rPr>
          <w:rFonts w:asciiTheme="majorHAnsi" w:hAnsiTheme="majorHAnsi" w:cstheme="majorHAnsi"/>
          <w:color w:val="002060"/>
          <w:sz w:val="22"/>
          <w:szCs w:val="22"/>
          <w:lang w:val="en-US"/>
        </w:rPr>
        <w:t>The case law has marked the necessity</w:t>
      </w:r>
      <w:r w:rsidR="00083E32">
        <w:rPr>
          <w:rFonts w:asciiTheme="majorHAnsi" w:hAnsiTheme="majorHAnsi" w:cstheme="majorHAnsi"/>
          <w:color w:val="002060"/>
          <w:sz w:val="22"/>
          <w:szCs w:val="22"/>
          <w:lang w:val="en-US"/>
        </w:rPr>
        <w:t xml:space="preserve"> for the Tax Authority to consider</w:t>
      </w:r>
      <w:r w:rsidRPr="005462F9">
        <w:rPr>
          <w:rFonts w:asciiTheme="majorHAnsi" w:hAnsiTheme="majorHAnsi" w:cstheme="majorHAnsi"/>
          <w:color w:val="002060"/>
          <w:sz w:val="22"/>
          <w:szCs w:val="22"/>
          <w:lang w:val="en-US"/>
        </w:rPr>
        <w:t xml:space="preserve"> all documents </w:t>
      </w:r>
      <w:r w:rsidR="00083E32">
        <w:rPr>
          <w:rFonts w:asciiTheme="majorHAnsi" w:hAnsiTheme="majorHAnsi" w:cstheme="majorHAnsi"/>
          <w:color w:val="002060"/>
          <w:sz w:val="22"/>
          <w:szCs w:val="22"/>
          <w:lang w:val="en-US"/>
        </w:rPr>
        <w:t xml:space="preserve">and information </w:t>
      </w:r>
      <w:r w:rsidRPr="005462F9">
        <w:rPr>
          <w:rFonts w:asciiTheme="majorHAnsi" w:hAnsiTheme="majorHAnsi" w:cstheme="majorHAnsi"/>
          <w:color w:val="002060"/>
          <w:sz w:val="22"/>
          <w:szCs w:val="22"/>
          <w:lang w:val="en-US"/>
        </w:rPr>
        <w:t>provided by a taxpayer</w:t>
      </w:r>
      <w:r w:rsidR="00781FB4">
        <w:rPr>
          <w:rFonts w:asciiTheme="majorHAnsi" w:hAnsiTheme="majorHAnsi" w:cstheme="majorHAnsi"/>
          <w:color w:val="002060"/>
          <w:sz w:val="22"/>
          <w:szCs w:val="22"/>
          <w:lang w:val="en-US"/>
        </w:rPr>
        <w:t xml:space="preserve"> before</w:t>
      </w:r>
      <w:r w:rsidRPr="005462F9">
        <w:rPr>
          <w:rFonts w:asciiTheme="majorHAnsi" w:hAnsiTheme="majorHAnsi" w:cstheme="majorHAnsi"/>
          <w:color w:val="002060"/>
          <w:sz w:val="22"/>
          <w:szCs w:val="22"/>
          <w:lang w:val="en-US"/>
        </w:rPr>
        <w:t xml:space="preserve"> </w:t>
      </w:r>
      <w:r w:rsidR="00083E32">
        <w:rPr>
          <w:rFonts w:asciiTheme="majorHAnsi" w:hAnsiTheme="majorHAnsi" w:cstheme="majorHAnsi"/>
          <w:color w:val="002060"/>
          <w:sz w:val="22"/>
          <w:szCs w:val="22"/>
          <w:lang w:val="en-US"/>
        </w:rPr>
        <w:t>making a best judgement assessment</w:t>
      </w:r>
      <w:r w:rsidRPr="005462F9">
        <w:rPr>
          <w:rFonts w:asciiTheme="majorHAnsi" w:hAnsiTheme="majorHAnsi" w:cstheme="majorHAnsi"/>
          <w:color w:val="002060"/>
          <w:sz w:val="22"/>
          <w:szCs w:val="22"/>
          <w:lang w:val="en-US"/>
        </w:rPr>
        <w:t>.</w:t>
      </w:r>
    </w:p>
    <w:p w14:paraId="6D349C1C" w14:textId="77777777" w:rsidR="005462F9" w:rsidRPr="005462F9" w:rsidRDefault="005462F9" w:rsidP="005462F9">
      <w:pPr>
        <w:jc w:val="both"/>
        <w:rPr>
          <w:rFonts w:asciiTheme="majorHAnsi" w:hAnsiTheme="majorHAnsi" w:cstheme="majorHAnsi"/>
          <w:color w:val="002060"/>
          <w:sz w:val="22"/>
          <w:szCs w:val="22"/>
          <w:lang w:val="en-US"/>
        </w:rPr>
      </w:pPr>
    </w:p>
    <w:p w14:paraId="77D8D36B" w14:textId="0982A9B8" w:rsidR="005462F9" w:rsidRPr="005462F9" w:rsidRDefault="005462F9" w:rsidP="005462F9">
      <w:pPr>
        <w:jc w:val="both"/>
        <w:rPr>
          <w:rFonts w:asciiTheme="majorHAnsi" w:hAnsiTheme="majorHAnsi" w:cstheme="majorHAnsi"/>
          <w:color w:val="002060"/>
          <w:sz w:val="22"/>
          <w:szCs w:val="22"/>
          <w:lang w:val="en-US"/>
        </w:rPr>
      </w:pPr>
      <w:r w:rsidRPr="005462F9">
        <w:rPr>
          <w:rFonts w:asciiTheme="majorHAnsi" w:hAnsiTheme="majorHAnsi" w:cstheme="majorHAnsi"/>
          <w:color w:val="002060"/>
          <w:sz w:val="22"/>
          <w:szCs w:val="22"/>
          <w:lang w:val="en-US"/>
        </w:rPr>
        <w:t>The salient facts of the case of</w:t>
      </w:r>
      <w:r w:rsidR="00825CAF">
        <w:rPr>
          <w:rFonts w:asciiTheme="majorHAnsi" w:hAnsiTheme="majorHAnsi" w:cstheme="majorHAnsi"/>
          <w:color w:val="002060"/>
          <w:sz w:val="22"/>
          <w:szCs w:val="22"/>
          <w:lang w:val="en-US"/>
        </w:rPr>
        <w:t xml:space="preserve"> K O Leung</w:t>
      </w:r>
      <w:r w:rsidRPr="005462F9">
        <w:rPr>
          <w:rFonts w:asciiTheme="majorHAnsi" w:hAnsiTheme="majorHAnsi" w:cstheme="majorHAnsi"/>
          <w:color w:val="002060"/>
          <w:sz w:val="22"/>
          <w:szCs w:val="22"/>
          <w:lang w:val="en-US"/>
        </w:rPr>
        <w:t xml:space="preserve"> PAH Hang v The Mauritius Revenue Authority (MRA) have been outlined below.</w:t>
      </w:r>
    </w:p>
    <w:p w14:paraId="31FA9444" w14:textId="77777777" w:rsidR="005462F9" w:rsidRDefault="005462F9" w:rsidP="00A16BE9">
      <w:pPr>
        <w:jc w:val="both"/>
        <w:rPr>
          <w:rFonts w:asciiTheme="majorHAnsi" w:hAnsiTheme="majorHAnsi" w:cstheme="majorHAnsi"/>
          <w:color w:val="002060"/>
          <w:sz w:val="22"/>
          <w:szCs w:val="22"/>
          <w:lang w:val="en-GB"/>
        </w:rPr>
      </w:pPr>
    </w:p>
    <w:p w14:paraId="074E28AC" w14:textId="3DC8AFDD" w:rsidR="005462F9" w:rsidRDefault="005462F9" w:rsidP="005462F9">
      <w:pPr>
        <w:jc w:val="both"/>
        <w:rPr>
          <w:rFonts w:asciiTheme="majorHAnsi" w:hAnsiTheme="majorHAnsi" w:cstheme="majorHAnsi"/>
          <w:b/>
          <w:bCs/>
          <w:color w:val="002060"/>
          <w:sz w:val="22"/>
          <w:szCs w:val="22"/>
          <w:lang w:val="en-US"/>
        </w:rPr>
      </w:pPr>
      <w:r w:rsidRPr="005462F9">
        <w:rPr>
          <w:rFonts w:asciiTheme="majorHAnsi" w:hAnsiTheme="majorHAnsi" w:cstheme="majorHAnsi"/>
          <w:b/>
          <w:bCs/>
          <w:color w:val="002060"/>
          <w:sz w:val="22"/>
          <w:szCs w:val="22"/>
          <w:lang w:val="en-US"/>
        </w:rPr>
        <w:t>Backgr</w:t>
      </w:r>
      <w:r w:rsidR="00466DD1">
        <w:rPr>
          <w:rFonts w:asciiTheme="majorHAnsi" w:hAnsiTheme="majorHAnsi" w:cstheme="majorHAnsi"/>
          <w:b/>
          <w:bCs/>
          <w:color w:val="002060"/>
          <w:sz w:val="22"/>
          <w:szCs w:val="22"/>
          <w:lang w:val="en-US"/>
        </w:rPr>
        <w:t>o</w:t>
      </w:r>
      <w:r w:rsidRPr="005462F9">
        <w:rPr>
          <w:rFonts w:asciiTheme="majorHAnsi" w:hAnsiTheme="majorHAnsi" w:cstheme="majorHAnsi"/>
          <w:b/>
          <w:bCs/>
          <w:color w:val="002060"/>
          <w:sz w:val="22"/>
          <w:szCs w:val="22"/>
          <w:lang w:val="en-US"/>
        </w:rPr>
        <w:t>und of the case</w:t>
      </w:r>
    </w:p>
    <w:p w14:paraId="07EC383C" w14:textId="77777777" w:rsidR="00466DD1" w:rsidRPr="005462F9" w:rsidRDefault="00466DD1" w:rsidP="005462F9">
      <w:pPr>
        <w:jc w:val="both"/>
        <w:rPr>
          <w:rFonts w:asciiTheme="majorHAnsi" w:hAnsiTheme="majorHAnsi" w:cstheme="majorHAnsi"/>
          <w:b/>
          <w:bCs/>
          <w:color w:val="002060"/>
          <w:sz w:val="22"/>
          <w:szCs w:val="22"/>
          <w:lang w:val="en-US"/>
        </w:rPr>
      </w:pPr>
    </w:p>
    <w:p w14:paraId="5C7AFFF0" w14:textId="21799084" w:rsidR="005462F9" w:rsidRDefault="005462F9" w:rsidP="005462F9">
      <w:pPr>
        <w:jc w:val="both"/>
        <w:rPr>
          <w:rFonts w:asciiTheme="majorHAnsi" w:hAnsiTheme="majorHAnsi" w:cstheme="majorHAnsi"/>
          <w:color w:val="002060"/>
          <w:sz w:val="22"/>
          <w:szCs w:val="22"/>
          <w:lang w:val="en-US"/>
        </w:rPr>
      </w:pPr>
      <w:r w:rsidRPr="005462F9">
        <w:rPr>
          <w:rFonts w:asciiTheme="majorHAnsi" w:hAnsiTheme="majorHAnsi" w:cstheme="majorHAnsi"/>
          <w:color w:val="002060"/>
          <w:sz w:val="22"/>
          <w:szCs w:val="22"/>
          <w:lang w:val="en-US"/>
        </w:rPr>
        <w:t xml:space="preserve">Mr </w:t>
      </w:r>
      <w:r w:rsidR="00825CAF">
        <w:rPr>
          <w:rFonts w:asciiTheme="majorHAnsi" w:hAnsiTheme="majorHAnsi" w:cstheme="majorHAnsi"/>
          <w:color w:val="002060"/>
          <w:sz w:val="22"/>
          <w:szCs w:val="22"/>
          <w:lang w:val="en-US"/>
        </w:rPr>
        <w:t xml:space="preserve">K O Leung </w:t>
      </w:r>
      <w:r w:rsidRPr="005462F9">
        <w:rPr>
          <w:rFonts w:asciiTheme="majorHAnsi" w:hAnsiTheme="majorHAnsi" w:cstheme="majorHAnsi"/>
          <w:color w:val="002060"/>
          <w:sz w:val="22"/>
          <w:szCs w:val="22"/>
          <w:lang w:val="en-US"/>
        </w:rPr>
        <w:t xml:space="preserve">PAH Hang (the appellant) was involved in the business of restauration and operating clubs (Karaoke and Disco Clubs). The supplies made by the business in terms of food, drinks and admission fees to karaoke and disco clubs were vatable at 15%. The submitted VAT returns of the appellant were examined by the MRA (the respondent). The latter raised a notice of assessment with adjustments made to the VAT payable amounts leading to an additional VAT liability </w:t>
      </w:r>
      <w:proofErr w:type="gramStart"/>
      <w:r w:rsidRPr="005462F9">
        <w:rPr>
          <w:rFonts w:asciiTheme="majorHAnsi" w:hAnsiTheme="majorHAnsi" w:cstheme="majorHAnsi"/>
          <w:color w:val="002060"/>
          <w:sz w:val="22"/>
          <w:szCs w:val="22"/>
          <w:lang w:val="en-US"/>
        </w:rPr>
        <w:t>on the basis of</w:t>
      </w:r>
      <w:proofErr w:type="gramEnd"/>
      <w:r w:rsidRPr="005462F9">
        <w:rPr>
          <w:rFonts w:asciiTheme="majorHAnsi" w:hAnsiTheme="majorHAnsi" w:cstheme="majorHAnsi"/>
          <w:color w:val="002060"/>
          <w:sz w:val="22"/>
          <w:szCs w:val="22"/>
          <w:lang w:val="en-US"/>
        </w:rPr>
        <w:t xml:space="preserve"> a mark-up exercise.</w:t>
      </w:r>
    </w:p>
    <w:p w14:paraId="27FB6EAA" w14:textId="77777777" w:rsidR="005462F9" w:rsidRPr="005462F9" w:rsidRDefault="005462F9" w:rsidP="005462F9">
      <w:pPr>
        <w:jc w:val="both"/>
        <w:rPr>
          <w:rFonts w:asciiTheme="majorHAnsi" w:hAnsiTheme="majorHAnsi" w:cstheme="majorHAnsi"/>
          <w:color w:val="002060"/>
          <w:sz w:val="22"/>
          <w:szCs w:val="22"/>
          <w:lang w:val="en-US"/>
        </w:rPr>
      </w:pPr>
    </w:p>
    <w:p w14:paraId="75B96F87" w14:textId="77777777" w:rsidR="005462F9" w:rsidRPr="005462F9" w:rsidRDefault="005462F9" w:rsidP="005462F9">
      <w:pPr>
        <w:jc w:val="both"/>
        <w:rPr>
          <w:rFonts w:asciiTheme="majorHAnsi" w:hAnsiTheme="majorHAnsi" w:cstheme="majorHAnsi"/>
          <w:color w:val="002060"/>
          <w:sz w:val="22"/>
          <w:szCs w:val="22"/>
          <w:lang w:val="en-US"/>
        </w:rPr>
      </w:pPr>
      <w:r w:rsidRPr="005462F9">
        <w:rPr>
          <w:rFonts w:asciiTheme="majorHAnsi" w:hAnsiTheme="majorHAnsi" w:cstheme="majorHAnsi"/>
          <w:color w:val="002060"/>
          <w:sz w:val="22"/>
          <w:szCs w:val="22"/>
          <w:lang w:val="en-US"/>
        </w:rPr>
        <w:t xml:space="preserve">Objections were made to the MRA and following the notice of determination issued in </w:t>
      </w:r>
      <w:proofErr w:type="spellStart"/>
      <w:r w:rsidRPr="005462F9">
        <w:rPr>
          <w:rFonts w:asciiTheme="majorHAnsi" w:hAnsiTheme="majorHAnsi" w:cstheme="majorHAnsi"/>
          <w:color w:val="002060"/>
          <w:sz w:val="22"/>
          <w:szCs w:val="22"/>
          <w:lang w:val="en-US"/>
        </w:rPr>
        <w:t>favour</w:t>
      </w:r>
      <w:proofErr w:type="spellEnd"/>
      <w:r w:rsidRPr="005462F9">
        <w:rPr>
          <w:rFonts w:asciiTheme="majorHAnsi" w:hAnsiTheme="majorHAnsi" w:cstheme="majorHAnsi"/>
          <w:color w:val="002060"/>
          <w:sz w:val="22"/>
          <w:szCs w:val="22"/>
          <w:lang w:val="en-US"/>
        </w:rPr>
        <w:t xml:space="preserve"> of the latter, the appellant made a representation to the Assessment Review Committee (ARC).</w:t>
      </w:r>
    </w:p>
    <w:p w14:paraId="65F889F9" w14:textId="73D12B53" w:rsidR="005462F9" w:rsidRDefault="005462F9" w:rsidP="005462F9">
      <w:pPr>
        <w:jc w:val="both"/>
        <w:rPr>
          <w:rFonts w:asciiTheme="majorHAnsi" w:hAnsiTheme="majorHAnsi" w:cstheme="majorHAnsi"/>
          <w:color w:val="002060"/>
          <w:sz w:val="22"/>
          <w:szCs w:val="22"/>
          <w:lang w:val="en-US"/>
        </w:rPr>
      </w:pPr>
      <w:r w:rsidRPr="005462F9">
        <w:rPr>
          <w:rFonts w:asciiTheme="majorHAnsi" w:hAnsiTheme="majorHAnsi" w:cstheme="majorHAnsi"/>
          <w:color w:val="002060"/>
          <w:sz w:val="22"/>
          <w:szCs w:val="22"/>
          <w:lang w:val="en-US"/>
        </w:rPr>
        <w:t xml:space="preserve">The appellant finally appealed to the Supreme Court for review of the ruling of the Assessment Review Committee (ARC) which upheld the determination of the MRA. The ARC argued that the mark-up exercise provided by both parties was biased and affirmed to adopt a middle figure </w:t>
      </w:r>
      <w:proofErr w:type="gramStart"/>
      <w:r w:rsidRPr="005462F9">
        <w:rPr>
          <w:rFonts w:asciiTheme="majorHAnsi" w:hAnsiTheme="majorHAnsi" w:cstheme="majorHAnsi"/>
          <w:color w:val="002060"/>
          <w:sz w:val="22"/>
          <w:szCs w:val="22"/>
          <w:lang w:val="en-US"/>
        </w:rPr>
        <w:t>in light of</w:t>
      </w:r>
      <w:proofErr w:type="gramEnd"/>
      <w:r w:rsidRPr="005462F9">
        <w:rPr>
          <w:rFonts w:asciiTheme="majorHAnsi" w:hAnsiTheme="majorHAnsi" w:cstheme="majorHAnsi"/>
          <w:color w:val="002060"/>
          <w:sz w:val="22"/>
          <w:szCs w:val="22"/>
          <w:lang w:val="en-US"/>
        </w:rPr>
        <w:t xml:space="preserve"> the best of judgement approach.</w:t>
      </w:r>
    </w:p>
    <w:p w14:paraId="68365878" w14:textId="77777777" w:rsidR="005462F9" w:rsidRPr="005462F9" w:rsidRDefault="005462F9" w:rsidP="005462F9">
      <w:pPr>
        <w:jc w:val="both"/>
        <w:rPr>
          <w:rFonts w:asciiTheme="majorHAnsi" w:hAnsiTheme="majorHAnsi" w:cstheme="majorHAnsi"/>
          <w:color w:val="002060"/>
          <w:sz w:val="22"/>
          <w:szCs w:val="22"/>
          <w:lang w:val="en-US"/>
        </w:rPr>
      </w:pPr>
    </w:p>
    <w:p w14:paraId="0AD20015" w14:textId="77777777" w:rsidR="005462F9" w:rsidRDefault="005462F9" w:rsidP="005462F9">
      <w:pPr>
        <w:jc w:val="both"/>
        <w:rPr>
          <w:rFonts w:asciiTheme="majorHAnsi" w:hAnsiTheme="majorHAnsi" w:cstheme="majorHAnsi"/>
          <w:b/>
          <w:bCs/>
          <w:color w:val="002060"/>
          <w:sz w:val="22"/>
          <w:szCs w:val="22"/>
          <w:lang w:val="en-US"/>
        </w:rPr>
      </w:pPr>
      <w:r w:rsidRPr="005462F9">
        <w:rPr>
          <w:rFonts w:asciiTheme="majorHAnsi" w:hAnsiTheme="majorHAnsi" w:cstheme="majorHAnsi"/>
          <w:b/>
          <w:bCs/>
          <w:color w:val="002060"/>
          <w:sz w:val="22"/>
          <w:szCs w:val="22"/>
          <w:lang w:val="en-US"/>
        </w:rPr>
        <w:t xml:space="preserve">Grounds of representations of the appellant and respondent </w:t>
      </w:r>
    </w:p>
    <w:p w14:paraId="7A62CDD6" w14:textId="77777777" w:rsidR="00466DD1" w:rsidRPr="005462F9" w:rsidRDefault="00466DD1" w:rsidP="005462F9">
      <w:pPr>
        <w:jc w:val="both"/>
        <w:rPr>
          <w:rFonts w:asciiTheme="majorHAnsi" w:hAnsiTheme="majorHAnsi" w:cstheme="majorHAnsi"/>
          <w:b/>
          <w:bCs/>
          <w:color w:val="002060"/>
          <w:sz w:val="22"/>
          <w:szCs w:val="22"/>
          <w:lang w:val="en-US"/>
        </w:rPr>
      </w:pPr>
    </w:p>
    <w:p w14:paraId="3559EB50" w14:textId="77777777" w:rsidR="005462F9" w:rsidRPr="005462F9" w:rsidRDefault="005462F9" w:rsidP="005462F9">
      <w:pPr>
        <w:pStyle w:val="ListParagraph"/>
        <w:numPr>
          <w:ilvl w:val="0"/>
          <w:numId w:val="41"/>
        </w:numPr>
        <w:jc w:val="both"/>
        <w:rPr>
          <w:rFonts w:asciiTheme="majorHAnsi" w:hAnsiTheme="majorHAnsi" w:cstheme="majorHAnsi"/>
          <w:color w:val="002060"/>
          <w:lang w:val="en-US"/>
        </w:rPr>
      </w:pPr>
      <w:r w:rsidRPr="005462F9">
        <w:rPr>
          <w:rFonts w:asciiTheme="majorHAnsi" w:hAnsiTheme="majorHAnsi" w:cstheme="majorHAnsi"/>
          <w:color w:val="002060"/>
          <w:lang w:val="en-US"/>
        </w:rPr>
        <w:t xml:space="preserve">The appellant asserted that the mark-up exercise performed by the MRA for drinks was incorrect and a wrong basis was used to estimate the taxable supplies which led to the additional VAT liability. Along the same vein, the appellant propounded a revised mark-up exercise to the ARC. </w:t>
      </w:r>
    </w:p>
    <w:p w14:paraId="4724BEE1" w14:textId="59C05A21" w:rsidR="00466DD1" w:rsidRPr="00825CAF" w:rsidRDefault="005462F9" w:rsidP="00466DD1">
      <w:pPr>
        <w:pStyle w:val="ListParagraph"/>
        <w:numPr>
          <w:ilvl w:val="0"/>
          <w:numId w:val="41"/>
        </w:numPr>
        <w:jc w:val="both"/>
        <w:rPr>
          <w:rFonts w:asciiTheme="majorHAnsi" w:hAnsiTheme="majorHAnsi" w:cstheme="majorHAnsi"/>
          <w:color w:val="002060"/>
          <w:lang w:val="en-US"/>
        </w:rPr>
      </w:pPr>
      <w:r w:rsidRPr="005462F9">
        <w:rPr>
          <w:rFonts w:asciiTheme="majorHAnsi" w:hAnsiTheme="majorHAnsi" w:cstheme="majorHAnsi"/>
          <w:color w:val="002060"/>
          <w:lang w:val="en-US"/>
        </w:rPr>
        <w:t>The respondent averred in its statement of facts that the mark up exercise was conducted based on the documents adduced by the appellant to gain comfort on the reliability of the accounts.</w:t>
      </w:r>
    </w:p>
    <w:p w14:paraId="7C6F31C6" w14:textId="602D675C" w:rsidR="002444F4" w:rsidRPr="002444F4" w:rsidRDefault="005462F9" w:rsidP="00774418">
      <w:pPr>
        <w:pStyle w:val="ListParagraph"/>
        <w:numPr>
          <w:ilvl w:val="0"/>
          <w:numId w:val="41"/>
        </w:numPr>
        <w:jc w:val="both"/>
        <w:rPr>
          <w:rFonts w:asciiTheme="majorHAnsi" w:hAnsiTheme="majorHAnsi" w:cstheme="majorHAnsi"/>
          <w:color w:val="002060"/>
          <w:lang w:val="en-US"/>
        </w:rPr>
      </w:pPr>
      <w:r w:rsidRPr="002444F4">
        <w:rPr>
          <w:rFonts w:asciiTheme="majorHAnsi" w:hAnsiTheme="majorHAnsi" w:cstheme="majorHAnsi"/>
          <w:color w:val="002060"/>
          <w:lang w:val="en-US"/>
        </w:rPr>
        <w:t xml:space="preserve">The appellant went further on to contend that accounts reviewed by qualified accountants were submitted to the </w:t>
      </w:r>
      <w:r w:rsidR="00825CAF" w:rsidRPr="002444F4">
        <w:rPr>
          <w:rFonts w:asciiTheme="majorHAnsi" w:hAnsiTheme="majorHAnsi" w:cstheme="majorHAnsi"/>
          <w:color w:val="002060"/>
          <w:lang w:val="en-US"/>
        </w:rPr>
        <w:t>Tax Authority</w:t>
      </w:r>
      <w:r w:rsidRPr="002444F4">
        <w:rPr>
          <w:rFonts w:asciiTheme="majorHAnsi" w:hAnsiTheme="majorHAnsi" w:cstheme="majorHAnsi"/>
          <w:color w:val="002060"/>
          <w:lang w:val="en-US"/>
        </w:rPr>
        <w:t xml:space="preserve"> and it was unfair</w:t>
      </w:r>
      <w:r w:rsidR="00825CAF" w:rsidRPr="002444F4">
        <w:rPr>
          <w:rFonts w:asciiTheme="majorHAnsi" w:hAnsiTheme="majorHAnsi" w:cstheme="majorHAnsi"/>
          <w:color w:val="002060"/>
          <w:lang w:val="en-US"/>
        </w:rPr>
        <w:t xml:space="preserve"> on the part of the latter</w:t>
      </w:r>
      <w:r w:rsidRPr="002444F4">
        <w:rPr>
          <w:rFonts w:asciiTheme="majorHAnsi" w:hAnsiTheme="majorHAnsi" w:cstheme="majorHAnsi"/>
          <w:color w:val="002060"/>
          <w:lang w:val="en-US"/>
        </w:rPr>
        <w:t xml:space="preserve"> to disregard</w:t>
      </w:r>
    </w:p>
    <w:p w14:paraId="5F13E71E" w14:textId="05F3FE4B" w:rsidR="005462F9" w:rsidRDefault="005462F9" w:rsidP="002444F4">
      <w:pPr>
        <w:pStyle w:val="ListParagraph"/>
        <w:jc w:val="both"/>
        <w:rPr>
          <w:rFonts w:asciiTheme="majorHAnsi" w:hAnsiTheme="majorHAnsi" w:cstheme="majorHAnsi"/>
          <w:color w:val="002060"/>
          <w:lang w:val="en-US"/>
        </w:rPr>
      </w:pPr>
      <w:r w:rsidRPr="005462F9">
        <w:rPr>
          <w:rFonts w:asciiTheme="majorHAnsi" w:hAnsiTheme="majorHAnsi" w:cstheme="majorHAnsi"/>
          <w:color w:val="002060"/>
          <w:lang w:val="en-US"/>
        </w:rPr>
        <w:t xml:space="preserve">same to proceed to another method of calculation unless the inaccuracy of such accounts were proven. </w:t>
      </w:r>
    </w:p>
    <w:p w14:paraId="5AAEEAA5" w14:textId="77777777" w:rsidR="000F388C" w:rsidRDefault="000F388C" w:rsidP="002444F4">
      <w:pPr>
        <w:pStyle w:val="ListParagraph"/>
        <w:jc w:val="both"/>
        <w:rPr>
          <w:rFonts w:asciiTheme="majorHAnsi" w:hAnsiTheme="majorHAnsi" w:cstheme="majorHAnsi"/>
          <w:color w:val="002060"/>
          <w:lang w:val="en-US"/>
        </w:rPr>
      </w:pPr>
    </w:p>
    <w:p w14:paraId="502E68AD" w14:textId="77777777" w:rsidR="002444F4" w:rsidRDefault="002444F4" w:rsidP="002444F4">
      <w:pPr>
        <w:pStyle w:val="ListParagraph"/>
        <w:jc w:val="both"/>
        <w:rPr>
          <w:rFonts w:asciiTheme="majorHAnsi" w:hAnsiTheme="majorHAnsi" w:cstheme="majorHAnsi"/>
          <w:color w:val="002060"/>
          <w:lang w:val="en-US"/>
        </w:rPr>
      </w:pPr>
    </w:p>
    <w:p w14:paraId="693CB266" w14:textId="536B8681" w:rsidR="005462F9" w:rsidRPr="005462F9" w:rsidRDefault="005462F9" w:rsidP="005462F9">
      <w:pPr>
        <w:pStyle w:val="ListParagraph"/>
        <w:numPr>
          <w:ilvl w:val="0"/>
          <w:numId w:val="41"/>
        </w:numPr>
        <w:jc w:val="both"/>
        <w:rPr>
          <w:rFonts w:asciiTheme="majorHAnsi" w:hAnsiTheme="majorHAnsi" w:cstheme="majorHAnsi"/>
          <w:color w:val="002060"/>
          <w:lang w:val="en-US"/>
        </w:rPr>
      </w:pPr>
      <w:r w:rsidRPr="005462F9">
        <w:rPr>
          <w:rFonts w:asciiTheme="majorHAnsi" w:hAnsiTheme="majorHAnsi" w:cstheme="majorHAnsi"/>
          <w:color w:val="002060"/>
          <w:lang w:val="en-US"/>
        </w:rPr>
        <w:t xml:space="preserve">The appellant inferred that the mark up exercise was erroneous as firstly, it was relied on supply of drinks only and secondly, it was applied to all taxable supplies of the business while using the wrong cost price of drinks. </w:t>
      </w:r>
    </w:p>
    <w:p w14:paraId="4A0A3786" w14:textId="77777777" w:rsidR="005462F9" w:rsidRDefault="005462F9" w:rsidP="005462F9">
      <w:pPr>
        <w:jc w:val="both"/>
        <w:rPr>
          <w:rFonts w:asciiTheme="majorHAnsi" w:hAnsiTheme="majorHAnsi" w:cstheme="majorHAnsi"/>
          <w:b/>
          <w:bCs/>
          <w:color w:val="002060"/>
          <w:sz w:val="22"/>
          <w:szCs w:val="22"/>
          <w:lang w:val="en-US"/>
        </w:rPr>
      </w:pPr>
    </w:p>
    <w:p w14:paraId="5894D968" w14:textId="6ED705E6" w:rsidR="005462F9" w:rsidRPr="00466DD1" w:rsidRDefault="005462F9" w:rsidP="005462F9">
      <w:pPr>
        <w:jc w:val="both"/>
        <w:rPr>
          <w:rFonts w:asciiTheme="majorHAnsi" w:hAnsiTheme="majorHAnsi" w:cstheme="majorHAnsi"/>
          <w:b/>
          <w:bCs/>
          <w:color w:val="002060"/>
          <w:sz w:val="22"/>
          <w:szCs w:val="22"/>
          <w:lang w:val="en-US"/>
        </w:rPr>
      </w:pPr>
      <w:r w:rsidRPr="00466DD1">
        <w:rPr>
          <w:rFonts w:asciiTheme="majorHAnsi" w:hAnsiTheme="majorHAnsi" w:cstheme="majorHAnsi"/>
          <w:b/>
          <w:bCs/>
          <w:color w:val="002060"/>
          <w:sz w:val="22"/>
          <w:szCs w:val="22"/>
          <w:lang w:val="en-US"/>
        </w:rPr>
        <w:t xml:space="preserve">Judgements of the Supreme Court </w:t>
      </w:r>
    </w:p>
    <w:p w14:paraId="03C31A5D" w14:textId="77777777" w:rsidR="005462F9" w:rsidRDefault="005462F9" w:rsidP="005462F9">
      <w:pPr>
        <w:jc w:val="both"/>
        <w:rPr>
          <w:rFonts w:asciiTheme="majorHAnsi" w:hAnsiTheme="majorHAnsi" w:cstheme="majorHAnsi"/>
          <w:color w:val="002060"/>
          <w:sz w:val="22"/>
          <w:szCs w:val="22"/>
          <w:lang w:val="en-US"/>
        </w:rPr>
      </w:pPr>
    </w:p>
    <w:p w14:paraId="097ECF4D" w14:textId="77777777" w:rsidR="00825CAF" w:rsidRDefault="00825CAF" w:rsidP="00825CAF">
      <w:pPr>
        <w:jc w:val="both"/>
        <w:rPr>
          <w:rFonts w:asciiTheme="majorHAnsi" w:hAnsiTheme="majorHAnsi" w:cstheme="majorHAnsi"/>
          <w:color w:val="002060"/>
          <w:sz w:val="22"/>
          <w:szCs w:val="22"/>
        </w:rPr>
      </w:pPr>
      <w:r w:rsidRPr="005462F9">
        <w:rPr>
          <w:rFonts w:asciiTheme="majorHAnsi" w:hAnsiTheme="majorHAnsi" w:cstheme="majorHAnsi"/>
          <w:color w:val="002060"/>
          <w:sz w:val="22"/>
          <w:szCs w:val="22"/>
        </w:rPr>
        <w:t xml:space="preserve">The gist of the matter was the unreasonableness of the </w:t>
      </w:r>
      <w:r>
        <w:rPr>
          <w:rFonts w:asciiTheme="majorHAnsi" w:hAnsiTheme="majorHAnsi" w:cstheme="majorHAnsi"/>
          <w:color w:val="002060"/>
          <w:sz w:val="22"/>
          <w:szCs w:val="22"/>
        </w:rPr>
        <w:t>MRA</w:t>
      </w:r>
      <w:r w:rsidRPr="005462F9">
        <w:rPr>
          <w:rFonts w:asciiTheme="majorHAnsi" w:hAnsiTheme="majorHAnsi" w:cstheme="majorHAnsi"/>
          <w:color w:val="002060"/>
          <w:sz w:val="22"/>
          <w:szCs w:val="22"/>
        </w:rPr>
        <w:t xml:space="preserve"> to challenge the accounts certified by a qualified accountant, the conduct of a faulty mark-up exercise only to gain comfort, and to deduce excessive percentage mark-ups in the absence of any evidence.</w:t>
      </w:r>
    </w:p>
    <w:p w14:paraId="60E364AF" w14:textId="77777777" w:rsidR="00825CAF" w:rsidRPr="005462F9" w:rsidRDefault="00825CAF" w:rsidP="00825CAF">
      <w:pPr>
        <w:jc w:val="both"/>
        <w:rPr>
          <w:rFonts w:asciiTheme="majorHAnsi" w:hAnsiTheme="majorHAnsi" w:cstheme="majorHAnsi"/>
          <w:color w:val="002060"/>
          <w:sz w:val="22"/>
          <w:szCs w:val="22"/>
        </w:rPr>
      </w:pPr>
    </w:p>
    <w:p w14:paraId="0E9A71C2" w14:textId="41250890" w:rsidR="00825CAF" w:rsidRPr="00AF0F4A" w:rsidRDefault="00825CAF" w:rsidP="00825CAF">
      <w:pPr>
        <w:jc w:val="both"/>
        <w:rPr>
          <w:rFonts w:asciiTheme="majorHAnsi" w:hAnsiTheme="majorHAnsi" w:cstheme="majorHAnsi"/>
          <w:color w:val="002060"/>
          <w:sz w:val="22"/>
          <w:szCs w:val="22"/>
        </w:rPr>
      </w:pPr>
      <w:r w:rsidRPr="005462F9">
        <w:rPr>
          <w:rFonts w:asciiTheme="majorHAnsi" w:hAnsiTheme="majorHAnsi" w:cstheme="majorHAnsi"/>
          <w:color w:val="002060"/>
          <w:sz w:val="22"/>
          <w:szCs w:val="22"/>
        </w:rPr>
        <w:t xml:space="preserve">The Supreme Court </w:t>
      </w:r>
      <w:r w:rsidR="00083E32">
        <w:rPr>
          <w:rFonts w:asciiTheme="majorHAnsi" w:hAnsiTheme="majorHAnsi" w:cstheme="majorHAnsi"/>
          <w:color w:val="002060"/>
          <w:sz w:val="22"/>
          <w:szCs w:val="22"/>
        </w:rPr>
        <w:t>ruled</w:t>
      </w:r>
      <w:r w:rsidRPr="005462F9">
        <w:rPr>
          <w:rFonts w:asciiTheme="majorHAnsi" w:hAnsiTheme="majorHAnsi" w:cstheme="majorHAnsi"/>
          <w:color w:val="002060"/>
          <w:sz w:val="22"/>
          <w:szCs w:val="22"/>
        </w:rPr>
        <w:t xml:space="preserve"> that the adoption of a middle figure to validate the mark-up exercise was arbitrary and </w:t>
      </w:r>
      <w:r>
        <w:rPr>
          <w:rFonts w:asciiTheme="majorHAnsi" w:hAnsiTheme="majorHAnsi" w:cstheme="majorHAnsi"/>
          <w:color w:val="002060"/>
          <w:sz w:val="22"/>
          <w:szCs w:val="22"/>
        </w:rPr>
        <w:t xml:space="preserve">a recollection of </w:t>
      </w:r>
      <w:r w:rsidRPr="005462F9">
        <w:rPr>
          <w:rFonts w:asciiTheme="majorHAnsi" w:hAnsiTheme="majorHAnsi" w:cstheme="majorHAnsi"/>
          <w:color w:val="002060"/>
          <w:sz w:val="22"/>
          <w:szCs w:val="22"/>
        </w:rPr>
        <w:t xml:space="preserve">the principle revolving around </w:t>
      </w:r>
      <w:r>
        <w:rPr>
          <w:rFonts w:asciiTheme="majorHAnsi" w:hAnsiTheme="majorHAnsi" w:cstheme="majorHAnsi"/>
          <w:color w:val="002060"/>
          <w:sz w:val="22"/>
          <w:szCs w:val="22"/>
        </w:rPr>
        <w:t>“l</w:t>
      </w:r>
      <w:r w:rsidRPr="005462F9">
        <w:rPr>
          <w:rFonts w:asciiTheme="majorHAnsi" w:hAnsiTheme="majorHAnsi" w:cstheme="majorHAnsi"/>
          <w:color w:val="002060"/>
          <w:sz w:val="22"/>
          <w:szCs w:val="22"/>
        </w:rPr>
        <w:t>a justice du Roi Salomon’’</w:t>
      </w:r>
      <w:r w:rsidR="00781FB4">
        <w:rPr>
          <w:rFonts w:asciiTheme="majorHAnsi" w:hAnsiTheme="majorHAnsi" w:cstheme="majorHAnsi"/>
          <w:color w:val="002060"/>
          <w:sz w:val="22"/>
          <w:szCs w:val="22"/>
        </w:rPr>
        <w:t>.</w:t>
      </w:r>
      <w:r w:rsidRPr="00083E32">
        <w:rPr>
          <w:rFonts w:asciiTheme="majorHAnsi" w:hAnsiTheme="majorHAnsi" w:cstheme="majorHAnsi"/>
          <w:color w:val="002060"/>
          <w:sz w:val="22"/>
          <w:szCs w:val="22"/>
        </w:rPr>
        <w:t xml:space="preserve"> The Judgment of Solomon is a story from the Hebrew Bible in which King Solomon of Israel ruled between two women both claiming to be the mother of a child. Solomon revealed their true feelings and relationship to the child by suggesting to cut the baby in two, with each woman to receive half. The Supreme Court Judge pointed out that  “This method of dispensing justice is, however, foreign to legal science”.</w:t>
      </w:r>
    </w:p>
    <w:p w14:paraId="560ACD55" w14:textId="77777777" w:rsidR="00825CAF" w:rsidRPr="005462F9" w:rsidRDefault="00825CAF" w:rsidP="00825CAF">
      <w:pPr>
        <w:jc w:val="both"/>
        <w:rPr>
          <w:rFonts w:asciiTheme="majorHAnsi" w:hAnsiTheme="majorHAnsi" w:cstheme="majorHAnsi"/>
          <w:color w:val="002060"/>
          <w:sz w:val="22"/>
          <w:szCs w:val="22"/>
        </w:rPr>
      </w:pPr>
    </w:p>
    <w:p w14:paraId="77741602" w14:textId="107DF237" w:rsidR="00825CAF" w:rsidRPr="00083E32" w:rsidRDefault="00825CAF" w:rsidP="00083E32">
      <w:pPr>
        <w:jc w:val="both"/>
        <w:rPr>
          <w:rFonts w:asciiTheme="majorHAnsi" w:hAnsiTheme="majorHAnsi" w:cstheme="majorHAnsi"/>
          <w:color w:val="002060"/>
          <w:sz w:val="22"/>
          <w:szCs w:val="22"/>
        </w:rPr>
      </w:pPr>
      <w:r w:rsidRPr="005462F9">
        <w:rPr>
          <w:rFonts w:asciiTheme="majorHAnsi" w:hAnsiTheme="majorHAnsi" w:cstheme="majorHAnsi"/>
          <w:color w:val="002060"/>
          <w:sz w:val="22"/>
          <w:szCs w:val="22"/>
        </w:rPr>
        <w:t>After due deliberations and assertions by both parties, the Supreme Court adjudicated in favour of the appellant,</w:t>
      </w:r>
      <w:r>
        <w:rPr>
          <w:rFonts w:asciiTheme="majorHAnsi" w:hAnsiTheme="majorHAnsi" w:cstheme="majorHAnsi"/>
          <w:color w:val="002060"/>
          <w:sz w:val="22"/>
          <w:szCs w:val="22"/>
        </w:rPr>
        <w:t xml:space="preserve"> </w:t>
      </w:r>
      <w:r w:rsidRPr="005462F9">
        <w:rPr>
          <w:rFonts w:asciiTheme="majorHAnsi" w:hAnsiTheme="majorHAnsi" w:cstheme="majorHAnsi"/>
          <w:color w:val="002060"/>
          <w:sz w:val="22"/>
          <w:szCs w:val="22"/>
        </w:rPr>
        <w:t xml:space="preserve">quashed the decision of the ARC  </w:t>
      </w:r>
      <w:r>
        <w:rPr>
          <w:rFonts w:asciiTheme="majorHAnsi" w:hAnsiTheme="majorHAnsi" w:cstheme="majorHAnsi"/>
          <w:color w:val="002060"/>
          <w:sz w:val="22"/>
          <w:szCs w:val="22"/>
        </w:rPr>
        <w:t xml:space="preserve">and remitted </w:t>
      </w:r>
      <w:r w:rsidRPr="00083E32">
        <w:rPr>
          <w:rFonts w:asciiTheme="majorHAnsi" w:hAnsiTheme="majorHAnsi" w:cstheme="majorHAnsi"/>
          <w:color w:val="002060"/>
          <w:sz w:val="22"/>
          <w:szCs w:val="22"/>
        </w:rPr>
        <w:t>the case to the MRA with directions to calculate the tax in the absence of evidence showing the incorrectness of the appellant’s accounts, on the basis of the latter’s accounts prepared by his certified accountants</w:t>
      </w:r>
      <w:r w:rsidR="00042F68">
        <w:rPr>
          <w:rFonts w:asciiTheme="majorHAnsi" w:hAnsiTheme="majorHAnsi" w:cstheme="majorHAnsi"/>
          <w:color w:val="002060"/>
          <w:sz w:val="22"/>
          <w:szCs w:val="22"/>
        </w:rPr>
        <w:t xml:space="preserve"> and</w:t>
      </w:r>
      <w:r w:rsidRPr="00083E32">
        <w:rPr>
          <w:rFonts w:asciiTheme="majorHAnsi" w:hAnsiTheme="majorHAnsi" w:cstheme="majorHAnsi"/>
          <w:color w:val="002060"/>
          <w:sz w:val="22"/>
          <w:szCs w:val="22"/>
        </w:rPr>
        <w:t xml:space="preserve"> in accordance with the approach laid down in Porlo Taco Co Ltd v Commissioner of Income Tax [1975 SCJ 216]. </w:t>
      </w:r>
    </w:p>
    <w:p w14:paraId="3B7D4CA7" w14:textId="77777777" w:rsidR="00825CAF" w:rsidRDefault="00825CAF" w:rsidP="00825CAF">
      <w:pPr>
        <w:jc w:val="both"/>
        <w:rPr>
          <w:rFonts w:asciiTheme="majorHAnsi" w:hAnsiTheme="majorHAnsi" w:cstheme="majorHAnsi"/>
          <w:color w:val="002060"/>
          <w:sz w:val="22"/>
          <w:szCs w:val="22"/>
        </w:rPr>
      </w:pPr>
    </w:p>
    <w:p w14:paraId="50F27B4F" w14:textId="06D7F29F" w:rsidR="00825CAF" w:rsidRDefault="00825CAF" w:rsidP="00825CAF">
      <w:pPr>
        <w:jc w:val="both"/>
        <w:rPr>
          <w:rFonts w:asciiTheme="majorHAnsi" w:hAnsiTheme="majorHAnsi" w:cstheme="majorHAnsi"/>
          <w:color w:val="002060"/>
          <w:sz w:val="22"/>
          <w:szCs w:val="22"/>
        </w:rPr>
      </w:pPr>
      <w:r>
        <w:rPr>
          <w:rFonts w:asciiTheme="majorHAnsi" w:hAnsiTheme="majorHAnsi" w:cstheme="majorHAnsi"/>
          <w:color w:val="002060"/>
          <w:sz w:val="22"/>
          <w:szCs w:val="22"/>
        </w:rPr>
        <w:t>It is worth noting that the Porlo Taco Case mentioned in the Leung P</w:t>
      </w:r>
      <w:r w:rsidR="00042F68">
        <w:rPr>
          <w:rFonts w:asciiTheme="majorHAnsi" w:hAnsiTheme="majorHAnsi" w:cstheme="majorHAnsi"/>
          <w:color w:val="002060"/>
          <w:sz w:val="22"/>
          <w:szCs w:val="22"/>
        </w:rPr>
        <w:t>AH</w:t>
      </w:r>
      <w:r>
        <w:rPr>
          <w:rFonts w:asciiTheme="majorHAnsi" w:hAnsiTheme="majorHAnsi" w:cstheme="majorHAnsi"/>
          <w:color w:val="002060"/>
          <w:sz w:val="22"/>
          <w:szCs w:val="22"/>
        </w:rPr>
        <w:t xml:space="preserve"> Hang Case is another important tax case to enlighten us on the meaning of a ‘best of judgement assessment’. We have reproduced hereunder the guidance provided by the Judge in the Porlo Taco Case to the Tax Authority in the exercise of its power to make assessment upon a taxpayer:</w:t>
      </w:r>
    </w:p>
    <w:p w14:paraId="01715AF9" w14:textId="77777777" w:rsidR="00825CAF" w:rsidRDefault="00825CAF" w:rsidP="00825CAF">
      <w:pPr>
        <w:jc w:val="both"/>
        <w:rPr>
          <w:rFonts w:asciiTheme="majorHAnsi" w:hAnsiTheme="majorHAnsi" w:cstheme="majorHAnsi"/>
          <w:color w:val="002060"/>
          <w:sz w:val="22"/>
          <w:szCs w:val="22"/>
        </w:rPr>
      </w:pPr>
    </w:p>
    <w:p w14:paraId="74BBAAB1" w14:textId="77777777" w:rsidR="00825CAF" w:rsidRPr="002444F4" w:rsidRDefault="00825CAF" w:rsidP="00825CAF">
      <w:pPr>
        <w:pStyle w:val="ListParagraph"/>
        <w:numPr>
          <w:ilvl w:val="0"/>
          <w:numId w:val="42"/>
        </w:numPr>
        <w:spacing w:after="200" w:line="360" w:lineRule="auto"/>
        <w:jc w:val="both"/>
        <w:rPr>
          <w:rFonts w:asciiTheme="majorHAnsi" w:hAnsiTheme="majorHAnsi" w:cstheme="majorHAnsi"/>
          <w:color w:val="002060"/>
        </w:rPr>
      </w:pPr>
      <w:proofErr w:type="gramStart"/>
      <w:r w:rsidRPr="002444F4">
        <w:rPr>
          <w:rFonts w:asciiTheme="majorHAnsi" w:hAnsiTheme="majorHAnsi" w:cstheme="majorHAnsi"/>
          <w:i/>
          <w:color w:val="002060"/>
        </w:rPr>
        <w:t>“ When</w:t>
      </w:r>
      <w:proofErr w:type="gramEnd"/>
      <w:r w:rsidRPr="002444F4">
        <w:rPr>
          <w:rFonts w:asciiTheme="majorHAnsi" w:hAnsiTheme="majorHAnsi" w:cstheme="majorHAnsi"/>
          <w:i/>
          <w:color w:val="002060"/>
        </w:rPr>
        <w:t xml:space="preserve"> the Commissioner refuses to accept a return made by a taxpayer, he should to the best of his judgement determine the amount of the taxpayer’s chargeable income and assess him accordingly”</w:t>
      </w:r>
    </w:p>
    <w:p w14:paraId="5E9036E5" w14:textId="77777777" w:rsidR="00825CAF" w:rsidRPr="002444F4" w:rsidRDefault="00825CAF" w:rsidP="00825CAF">
      <w:pPr>
        <w:pStyle w:val="ListParagraph"/>
        <w:numPr>
          <w:ilvl w:val="0"/>
          <w:numId w:val="42"/>
        </w:numPr>
        <w:spacing w:after="200" w:line="360" w:lineRule="auto"/>
        <w:jc w:val="both"/>
        <w:rPr>
          <w:rFonts w:asciiTheme="majorHAnsi" w:hAnsiTheme="majorHAnsi" w:cstheme="majorHAnsi"/>
          <w:color w:val="002060"/>
        </w:rPr>
      </w:pPr>
      <w:r w:rsidRPr="002444F4">
        <w:rPr>
          <w:rFonts w:asciiTheme="majorHAnsi" w:hAnsiTheme="majorHAnsi" w:cstheme="majorHAnsi"/>
          <w:i/>
          <w:color w:val="002060"/>
        </w:rPr>
        <w:t xml:space="preserve">“The word judgement ’implies consideration of something. However futile the commissioner may think it to be, in view of his past knowledge, to look into the taxpayer’s accounts and whether his examination may turn out to be a mere formality, his duty is to go honestly and fairly through the process of seeking information upon which to </w:t>
      </w:r>
      <w:proofErr w:type="gramStart"/>
      <w:r w:rsidRPr="002444F4">
        <w:rPr>
          <w:rFonts w:asciiTheme="majorHAnsi" w:hAnsiTheme="majorHAnsi" w:cstheme="majorHAnsi"/>
          <w:i/>
          <w:color w:val="002060"/>
        </w:rPr>
        <w:t>found</w:t>
      </w:r>
      <w:proofErr w:type="gramEnd"/>
      <w:r w:rsidRPr="002444F4">
        <w:rPr>
          <w:rFonts w:asciiTheme="majorHAnsi" w:hAnsiTheme="majorHAnsi" w:cstheme="majorHAnsi"/>
          <w:i/>
          <w:color w:val="002060"/>
        </w:rPr>
        <w:t xml:space="preserve"> an assessment in each individual case. An assessment arrived at otherwise would be no assessment at all. The word ‘assessment’ itself would indeed connote some kind of computation inconsistent with that would, in the circumstances, amount to complete guess work, not even that kind of guess work or arbitrariness which an assessor may legitimately resort to in certain circumstances in the absence of information”</w:t>
      </w:r>
    </w:p>
    <w:p w14:paraId="58D492A4" w14:textId="77777777" w:rsidR="005462F9" w:rsidRPr="00825CAF" w:rsidRDefault="005462F9" w:rsidP="005462F9">
      <w:pPr>
        <w:jc w:val="both"/>
        <w:rPr>
          <w:rFonts w:asciiTheme="majorHAnsi" w:hAnsiTheme="majorHAnsi" w:cstheme="majorHAnsi"/>
          <w:color w:val="002060"/>
          <w:sz w:val="22"/>
          <w:szCs w:val="22"/>
          <w:lang w:val="en-GB"/>
        </w:rPr>
      </w:pPr>
    </w:p>
    <w:p w14:paraId="55BEB85E" w14:textId="77777777" w:rsidR="00466DD1" w:rsidRPr="005462F9" w:rsidRDefault="00466DD1" w:rsidP="005462F9">
      <w:pPr>
        <w:jc w:val="both"/>
        <w:rPr>
          <w:rFonts w:asciiTheme="majorHAnsi" w:hAnsiTheme="majorHAnsi" w:cstheme="majorHAnsi"/>
          <w:color w:val="002060"/>
          <w:sz w:val="22"/>
          <w:szCs w:val="22"/>
          <w:lang w:val="en-US"/>
        </w:rPr>
      </w:pPr>
    </w:p>
    <w:p w14:paraId="2A4C3747" w14:textId="77777777" w:rsidR="005462F9" w:rsidRDefault="005462F9" w:rsidP="005462F9">
      <w:pPr>
        <w:jc w:val="both"/>
        <w:rPr>
          <w:rFonts w:asciiTheme="majorHAnsi" w:hAnsiTheme="majorHAnsi" w:cstheme="majorHAnsi"/>
          <w:b/>
          <w:bCs/>
          <w:color w:val="002060"/>
          <w:sz w:val="22"/>
          <w:szCs w:val="22"/>
          <w:lang w:val="en-US"/>
        </w:rPr>
      </w:pPr>
      <w:r w:rsidRPr="005462F9">
        <w:rPr>
          <w:rFonts w:asciiTheme="majorHAnsi" w:hAnsiTheme="majorHAnsi" w:cstheme="majorHAnsi"/>
          <w:b/>
          <w:bCs/>
          <w:color w:val="002060"/>
          <w:sz w:val="22"/>
          <w:szCs w:val="22"/>
          <w:lang w:val="en-US"/>
        </w:rPr>
        <w:t>Our Conclusions</w:t>
      </w:r>
    </w:p>
    <w:p w14:paraId="7C999B8B" w14:textId="77777777" w:rsidR="005462F9" w:rsidRPr="005462F9" w:rsidRDefault="005462F9" w:rsidP="005462F9">
      <w:pPr>
        <w:jc w:val="both"/>
        <w:rPr>
          <w:rFonts w:asciiTheme="majorHAnsi" w:hAnsiTheme="majorHAnsi" w:cstheme="majorHAnsi"/>
          <w:b/>
          <w:bCs/>
          <w:color w:val="002060"/>
          <w:sz w:val="22"/>
          <w:szCs w:val="22"/>
          <w:lang w:val="en-US"/>
        </w:rPr>
      </w:pPr>
    </w:p>
    <w:p w14:paraId="48F17662" w14:textId="3816819E" w:rsidR="005462F9" w:rsidRDefault="005462F9" w:rsidP="005462F9">
      <w:pPr>
        <w:jc w:val="both"/>
        <w:rPr>
          <w:rFonts w:asciiTheme="majorHAnsi" w:hAnsiTheme="majorHAnsi" w:cstheme="majorHAnsi"/>
          <w:color w:val="002060"/>
          <w:sz w:val="22"/>
          <w:szCs w:val="22"/>
          <w:lang w:val="en-US"/>
        </w:rPr>
      </w:pPr>
      <w:r w:rsidRPr="005462F9">
        <w:rPr>
          <w:rFonts w:asciiTheme="majorHAnsi" w:hAnsiTheme="majorHAnsi" w:cstheme="majorHAnsi"/>
          <w:color w:val="002060"/>
          <w:sz w:val="22"/>
          <w:szCs w:val="22"/>
          <w:lang w:val="en-US"/>
        </w:rPr>
        <w:t>Our conclusions drawn from the case are notably to ascertain that tax authorities should not attempt to follow ‘’la justice du Roi S</w:t>
      </w:r>
      <w:r w:rsidR="00042F68">
        <w:rPr>
          <w:rFonts w:asciiTheme="majorHAnsi" w:hAnsiTheme="majorHAnsi" w:cstheme="majorHAnsi"/>
          <w:color w:val="002060"/>
          <w:sz w:val="22"/>
          <w:szCs w:val="22"/>
          <w:lang w:val="en-US"/>
        </w:rPr>
        <w:t>a</w:t>
      </w:r>
      <w:r w:rsidRPr="005462F9">
        <w:rPr>
          <w:rFonts w:asciiTheme="majorHAnsi" w:hAnsiTheme="majorHAnsi" w:cstheme="majorHAnsi"/>
          <w:color w:val="002060"/>
          <w:sz w:val="22"/>
          <w:szCs w:val="22"/>
          <w:lang w:val="en-US"/>
        </w:rPr>
        <w:t>lomon’’.</w:t>
      </w:r>
      <w:r w:rsidR="00825CAF">
        <w:rPr>
          <w:rFonts w:asciiTheme="majorHAnsi" w:hAnsiTheme="majorHAnsi" w:cstheme="majorHAnsi"/>
          <w:color w:val="002060"/>
          <w:sz w:val="22"/>
          <w:szCs w:val="22"/>
        </w:rPr>
        <w:t xml:space="preserve"> They must perform their functions honestly and bona fide</w:t>
      </w:r>
      <w:r w:rsidR="005E4531">
        <w:rPr>
          <w:rFonts w:asciiTheme="majorHAnsi" w:hAnsiTheme="majorHAnsi" w:cstheme="majorHAnsi"/>
          <w:color w:val="002060"/>
          <w:sz w:val="22"/>
          <w:szCs w:val="22"/>
        </w:rPr>
        <w:t>,</w:t>
      </w:r>
      <w:r w:rsidR="00825CAF">
        <w:rPr>
          <w:rFonts w:asciiTheme="majorHAnsi" w:hAnsiTheme="majorHAnsi" w:cstheme="majorHAnsi"/>
          <w:color w:val="002060"/>
          <w:sz w:val="22"/>
          <w:szCs w:val="22"/>
        </w:rPr>
        <w:t xml:space="preserve"> and come to a decision which is reasonable and not arbitrary. </w:t>
      </w:r>
      <w:r w:rsidRPr="005462F9">
        <w:rPr>
          <w:rFonts w:asciiTheme="majorHAnsi" w:hAnsiTheme="majorHAnsi" w:cstheme="majorHAnsi"/>
          <w:color w:val="002060"/>
          <w:sz w:val="22"/>
          <w:szCs w:val="22"/>
          <w:lang w:val="en-US"/>
        </w:rPr>
        <w:t xml:space="preserve">They should lay emphasis on the careful examination of submitted </w:t>
      </w:r>
      <w:proofErr w:type="gramStart"/>
      <w:r>
        <w:rPr>
          <w:rFonts w:asciiTheme="majorHAnsi" w:hAnsiTheme="majorHAnsi" w:cstheme="majorHAnsi"/>
          <w:color w:val="002060"/>
          <w:sz w:val="22"/>
          <w:szCs w:val="22"/>
          <w:lang w:val="en-US"/>
        </w:rPr>
        <w:t xml:space="preserve">factual </w:t>
      </w:r>
      <w:r w:rsidRPr="005462F9">
        <w:rPr>
          <w:rFonts w:asciiTheme="majorHAnsi" w:hAnsiTheme="majorHAnsi" w:cstheme="majorHAnsi"/>
          <w:color w:val="002060"/>
          <w:sz w:val="22"/>
          <w:szCs w:val="22"/>
          <w:lang w:val="en-US"/>
        </w:rPr>
        <w:t>information</w:t>
      </w:r>
      <w:proofErr w:type="gramEnd"/>
      <w:r w:rsidRPr="005462F9">
        <w:rPr>
          <w:rFonts w:asciiTheme="majorHAnsi" w:hAnsiTheme="majorHAnsi" w:cstheme="majorHAnsi"/>
          <w:color w:val="002060"/>
          <w:sz w:val="22"/>
          <w:szCs w:val="22"/>
          <w:lang w:val="en-US"/>
        </w:rPr>
        <w:t xml:space="preserve"> and they are empowered to set aside repugnant documents causing ambiguity, irrelevance or incongruence.</w:t>
      </w:r>
    </w:p>
    <w:p w14:paraId="5A8DBAC4" w14:textId="77777777" w:rsidR="00466DD1" w:rsidRPr="005462F9" w:rsidRDefault="00466DD1" w:rsidP="005462F9">
      <w:pPr>
        <w:jc w:val="both"/>
        <w:rPr>
          <w:rFonts w:asciiTheme="majorHAnsi" w:hAnsiTheme="majorHAnsi" w:cstheme="majorHAnsi"/>
          <w:color w:val="002060"/>
          <w:sz w:val="22"/>
          <w:szCs w:val="22"/>
          <w:lang w:val="en-US"/>
        </w:rPr>
      </w:pPr>
    </w:p>
    <w:p w14:paraId="72577467" w14:textId="16F72526" w:rsidR="005462F9" w:rsidRDefault="005462F9" w:rsidP="005462F9">
      <w:pPr>
        <w:jc w:val="both"/>
        <w:rPr>
          <w:rFonts w:asciiTheme="majorHAnsi" w:hAnsiTheme="majorHAnsi" w:cstheme="majorHAnsi"/>
          <w:color w:val="002060"/>
          <w:sz w:val="22"/>
          <w:szCs w:val="22"/>
          <w:lang w:val="en-US"/>
        </w:rPr>
      </w:pPr>
      <w:r w:rsidRPr="005462F9">
        <w:rPr>
          <w:rFonts w:asciiTheme="majorHAnsi" w:hAnsiTheme="majorHAnsi" w:cstheme="majorHAnsi"/>
          <w:color w:val="002060"/>
          <w:sz w:val="22"/>
          <w:szCs w:val="22"/>
          <w:lang w:val="en-US"/>
        </w:rPr>
        <w:t xml:space="preserve">It is pivotal that tax audits are conducted in accordance with the prevailing legislations to protect the interests of stakeholders and preserve the </w:t>
      </w:r>
      <w:r w:rsidR="00083E32">
        <w:rPr>
          <w:rFonts w:asciiTheme="majorHAnsi" w:hAnsiTheme="majorHAnsi" w:cstheme="majorHAnsi"/>
          <w:color w:val="002060"/>
          <w:sz w:val="22"/>
          <w:szCs w:val="22"/>
          <w:lang w:val="en-US"/>
        </w:rPr>
        <w:t>fundamental</w:t>
      </w:r>
      <w:r w:rsidRPr="005462F9">
        <w:rPr>
          <w:rFonts w:asciiTheme="majorHAnsi" w:hAnsiTheme="majorHAnsi" w:cstheme="majorHAnsi"/>
          <w:color w:val="002060"/>
          <w:sz w:val="22"/>
          <w:szCs w:val="22"/>
          <w:lang w:val="en-US"/>
        </w:rPr>
        <w:t xml:space="preserve"> rights of the </w:t>
      </w:r>
      <w:r w:rsidR="00083E32">
        <w:rPr>
          <w:rFonts w:asciiTheme="majorHAnsi" w:hAnsiTheme="majorHAnsi" w:cstheme="majorHAnsi"/>
          <w:color w:val="002060"/>
          <w:sz w:val="22"/>
          <w:szCs w:val="22"/>
          <w:lang w:val="en-US"/>
        </w:rPr>
        <w:t>taxpayers</w:t>
      </w:r>
      <w:r w:rsidRPr="005462F9">
        <w:rPr>
          <w:rFonts w:asciiTheme="majorHAnsi" w:hAnsiTheme="majorHAnsi" w:cstheme="majorHAnsi"/>
          <w:color w:val="002060"/>
          <w:sz w:val="22"/>
          <w:szCs w:val="22"/>
          <w:lang w:val="en-US"/>
        </w:rPr>
        <w:t xml:space="preserve">. </w:t>
      </w:r>
      <w:r w:rsidR="00083E32">
        <w:rPr>
          <w:rFonts w:asciiTheme="majorHAnsi" w:hAnsiTheme="majorHAnsi" w:cstheme="majorHAnsi"/>
          <w:color w:val="002060"/>
          <w:sz w:val="22"/>
          <w:szCs w:val="22"/>
          <w:lang w:val="en-US"/>
        </w:rPr>
        <w:t>By the same token</w:t>
      </w:r>
      <w:r w:rsidRPr="005462F9">
        <w:rPr>
          <w:rFonts w:asciiTheme="majorHAnsi" w:hAnsiTheme="majorHAnsi" w:cstheme="majorHAnsi"/>
          <w:color w:val="002060"/>
          <w:sz w:val="22"/>
          <w:szCs w:val="22"/>
          <w:lang w:val="en-US"/>
        </w:rPr>
        <w:t xml:space="preserve">, the opportunity to be heard in a fair and reasonable manner will </w:t>
      </w:r>
      <w:proofErr w:type="gramStart"/>
      <w:r w:rsidRPr="005462F9">
        <w:rPr>
          <w:rFonts w:asciiTheme="majorHAnsi" w:hAnsiTheme="majorHAnsi" w:cstheme="majorHAnsi"/>
          <w:color w:val="002060"/>
          <w:sz w:val="22"/>
          <w:szCs w:val="22"/>
          <w:lang w:val="en-US"/>
        </w:rPr>
        <w:t>definitely elevate</w:t>
      </w:r>
      <w:proofErr w:type="gramEnd"/>
      <w:r w:rsidRPr="005462F9">
        <w:rPr>
          <w:rFonts w:asciiTheme="majorHAnsi" w:hAnsiTheme="majorHAnsi" w:cstheme="majorHAnsi"/>
          <w:color w:val="002060"/>
          <w:sz w:val="22"/>
          <w:szCs w:val="22"/>
          <w:lang w:val="en-US"/>
        </w:rPr>
        <w:t xml:space="preserve"> the confidence of taxpayers.</w:t>
      </w:r>
    </w:p>
    <w:p w14:paraId="418DBE7C" w14:textId="77777777" w:rsidR="00466DD1" w:rsidRPr="005462F9" w:rsidRDefault="00466DD1" w:rsidP="005462F9">
      <w:pPr>
        <w:jc w:val="both"/>
        <w:rPr>
          <w:rFonts w:asciiTheme="majorHAnsi" w:hAnsiTheme="majorHAnsi" w:cstheme="majorHAnsi"/>
          <w:color w:val="002060"/>
          <w:sz w:val="22"/>
          <w:szCs w:val="22"/>
          <w:lang w:val="en-US"/>
        </w:rPr>
      </w:pPr>
    </w:p>
    <w:p w14:paraId="2019755A" w14:textId="787F4CCD" w:rsidR="005462F9" w:rsidRPr="005462F9" w:rsidRDefault="005462F9" w:rsidP="005462F9">
      <w:pPr>
        <w:jc w:val="both"/>
        <w:rPr>
          <w:rFonts w:asciiTheme="majorHAnsi" w:hAnsiTheme="majorHAnsi" w:cstheme="majorHAnsi"/>
          <w:color w:val="002060"/>
          <w:sz w:val="22"/>
          <w:szCs w:val="22"/>
          <w:lang w:val="en-US"/>
        </w:rPr>
      </w:pPr>
      <w:r w:rsidRPr="005462F9">
        <w:rPr>
          <w:rFonts w:asciiTheme="majorHAnsi" w:hAnsiTheme="majorHAnsi" w:cstheme="majorHAnsi"/>
          <w:color w:val="002060"/>
          <w:sz w:val="22"/>
          <w:szCs w:val="22"/>
          <w:lang w:val="en-US"/>
        </w:rPr>
        <w:t xml:space="preserve">The Supreme Court in the matter of </w:t>
      </w:r>
      <w:r w:rsidR="00825CAF">
        <w:rPr>
          <w:rFonts w:asciiTheme="majorHAnsi" w:hAnsiTheme="majorHAnsi" w:cstheme="majorHAnsi"/>
          <w:color w:val="002060"/>
          <w:sz w:val="22"/>
          <w:szCs w:val="22"/>
          <w:lang w:val="en-US"/>
        </w:rPr>
        <w:t xml:space="preserve">K O Leung </w:t>
      </w:r>
      <w:r w:rsidRPr="005462F9">
        <w:rPr>
          <w:rFonts w:asciiTheme="majorHAnsi" w:hAnsiTheme="majorHAnsi" w:cstheme="majorHAnsi"/>
          <w:color w:val="002060"/>
          <w:sz w:val="22"/>
          <w:szCs w:val="22"/>
          <w:lang w:val="en-US"/>
        </w:rPr>
        <w:t>PAH Hang has proven that taxpayers should not be denied their rights to seek fairness in decisions delivered by the tax authorities where it is found that such decisions are cushioned on unfounded grounds.</w:t>
      </w:r>
    </w:p>
    <w:p w14:paraId="0BB7C0C2" w14:textId="77777777" w:rsidR="005462F9" w:rsidRDefault="005462F9" w:rsidP="005462F9">
      <w:pPr>
        <w:jc w:val="both"/>
        <w:rPr>
          <w:lang w:val="en-GB"/>
        </w:rPr>
      </w:pPr>
    </w:p>
    <w:p w14:paraId="1F9C5D31" w14:textId="77777777" w:rsidR="00A16BE9" w:rsidRDefault="00A16BE9" w:rsidP="00A16BE9">
      <w:pPr>
        <w:pStyle w:val="NormalWeb"/>
        <w:shd w:val="clear" w:color="auto" w:fill="FFFFFF"/>
        <w:spacing w:before="0" w:beforeAutospacing="0" w:after="0" w:afterAutospacing="0"/>
        <w:jc w:val="both"/>
        <w:rPr>
          <w:rFonts w:ascii="Helvetica" w:eastAsiaTheme="minorHAnsi" w:hAnsi="Helvetica" w:cs="Helvetica"/>
          <w:color w:val="0A0A0A"/>
          <w:kern w:val="2"/>
          <w:sz w:val="22"/>
          <w:szCs w:val="22"/>
          <w:shd w:val="clear" w:color="auto" w:fill="FFFFFF"/>
          <w:lang w:val="en-GB" w:eastAsia="en-US"/>
          <w14:ligatures w14:val="standardContextual"/>
        </w:rPr>
      </w:pPr>
    </w:p>
    <w:p w14:paraId="63A7D069" w14:textId="09D2FD36" w:rsidR="007B1872" w:rsidRDefault="00A16BE9" w:rsidP="00ED6F04">
      <w:pPr>
        <w:jc w:val="right"/>
        <w:rPr>
          <w:rFonts w:asciiTheme="majorHAnsi" w:hAnsiTheme="majorHAnsi" w:cstheme="majorHAnsi"/>
          <w:color w:val="002060"/>
          <w:sz w:val="22"/>
          <w:szCs w:val="22"/>
          <w:lang w:val="en-US"/>
        </w:rPr>
      </w:pPr>
      <w:r>
        <w:rPr>
          <w:rFonts w:asciiTheme="majorHAnsi" w:hAnsiTheme="majorHAnsi" w:cstheme="majorHAnsi"/>
          <w:color w:val="002060"/>
          <w:sz w:val="22"/>
          <w:szCs w:val="22"/>
          <w:lang w:val="en-US"/>
        </w:rPr>
        <w:t>DTOS Tax Advisory Department</w:t>
      </w:r>
    </w:p>
    <w:p w14:paraId="240CB93E" w14:textId="77777777" w:rsidR="00D00F43" w:rsidRDefault="00D00F43" w:rsidP="00D00F43">
      <w:pPr>
        <w:jc w:val="both"/>
        <w:rPr>
          <w:rFonts w:asciiTheme="majorHAnsi" w:hAnsiTheme="majorHAnsi" w:cstheme="majorHAnsi"/>
          <w:color w:val="002060"/>
          <w:sz w:val="22"/>
          <w:szCs w:val="22"/>
          <w:lang w:val="en-US"/>
        </w:rPr>
      </w:pPr>
    </w:p>
    <w:p w14:paraId="2D8EEB5D" w14:textId="77777777" w:rsidR="002444F4" w:rsidRDefault="002444F4" w:rsidP="00D00F43">
      <w:pPr>
        <w:jc w:val="both"/>
        <w:rPr>
          <w:rFonts w:asciiTheme="majorHAnsi" w:hAnsiTheme="majorHAnsi" w:cstheme="majorHAnsi"/>
          <w:color w:val="002060"/>
          <w:sz w:val="22"/>
          <w:szCs w:val="22"/>
          <w:lang w:val="en-US"/>
        </w:rPr>
      </w:pPr>
    </w:p>
    <w:p w14:paraId="6F7E569A" w14:textId="77777777" w:rsidR="00D00F43" w:rsidRDefault="00D00F43" w:rsidP="00D00F43">
      <w:pPr>
        <w:jc w:val="both"/>
        <w:rPr>
          <w:rFonts w:asciiTheme="majorHAnsi" w:hAnsiTheme="majorHAnsi" w:cstheme="majorHAnsi"/>
          <w:color w:val="002060"/>
          <w:sz w:val="22"/>
          <w:szCs w:val="22"/>
          <w:lang w:val="en-US"/>
        </w:rPr>
      </w:pPr>
    </w:p>
    <w:p w14:paraId="7ADB6931" w14:textId="4E987839" w:rsidR="00D00F43" w:rsidRPr="00D00F43" w:rsidRDefault="00D00F43" w:rsidP="00D00F43">
      <w:pPr>
        <w:jc w:val="both"/>
        <w:rPr>
          <w:rFonts w:asciiTheme="majorHAnsi" w:hAnsiTheme="majorHAnsi" w:cstheme="majorHAnsi"/>
          <w:color w:val="002060"/>
          <w:sz w:val="22"/>
          <w:szCs w:val="22"/>
          <w:lang w:val="en-US"/>
        </w:rPr>
      </w:pPr>
      <w:r w:rsidRPr="00D00F43">
        <w:rPr>
          <w:rFonts w:asciiTheme="majorHAnsi" w:hAnsiTheme="majorHAnsi" w:cstheme="majorHAnsi"/>
          <w:b/>
          <w:bCs/>
          <w:color w:val="002060"/>
          <w:sz w:val="22"/>
          <w:szCs w:val="22"/>
          <w:lang w:val="en-US"/>
        </w:rPr>
        <w:t>DTOS Tax Advisory Department</w:t>
      </w:r>
      <w:r>
        <w:rPr>
          <w:rFonts w:asciiTheme="majorHAnsi" w:hAnsiTheme="majorHAnsi" w:cstheme="majorHAnsi"/>
          <w:color w:val="002060"/>
          <w:sz w:val="22"/>
          <w:szCs w:val="22"/>
          <w:lang w:val="en-US"/>
        </w:rPr>
        <w:t xml:space="preserve"> offers a plethora of customized solutions in this ever-changing tax world - from tax planning and structuring to tax compliance, dispute Resolutions and advice on international taxation - to accompany corporate and private clients. This department has also crafted a series of tailored tax training courses on all relevant topics that our clients are facing.</w:t>
      </w:r>
    </w:p>
    <w:p w14:paraId="12F8BC42" w14:textId="77777777" w:rsidR="00B475F3" w:rsidRDefault="00B475F3" w:rsidP="00ED6F04">
      <w:pPr>
        <w:spacing w:after="160"/>
        <w:rPr>
          <w:rFonts w:asciiTheme="majorHAnsi" w:hAnsiTheme="majorHAnsi" w:cstheme="majorHAnsi"/>
          <w:b/>
          <w:bCs/>
          <w:color w:val="002060"/>
          <w:sz w:val="22"/>
          <w:szCs w:val="22"/>
          <w:lang w:val="en-US"/>
        </w:rPr>
      </w:pPr>
    </w:p>
    <w:p w14:paraId="16992743" w14:textId="77777777" w:rsidR="00466DD1" w:rsidRDefault="00466DD1" w:rsidP="00ED6F04">
      <w:pPr>
        <w:spacing w:after="160"/>
        <w:rPr>
          <w:rFonts w:asciiTheme="majorHAnsi" w:hAnsiTheme="majorHAnsi" w:cstheme="majorHAnsi"/>
          <w:b/>
          <w:bCs/>
          <w:color w:val="002060"/>
          <w:sz w:val="22"/>
          <w:szCs w:val="22"/>
          <w:lang w:val="en-US"/>
        </w:rPr>
      </w:pPr>
    </w:p>
    <w:p w14:paraId="7F919CA5" w14:textId="7E612E07" w:rsidR="002E280F" w:rsidRPr="002444F4" w:rsidRDefault="00A16BE9" w:rsidP="002444F4">
      <w:pPr>
        <w:spacing w:after="160"/>
        <w:jc w:val="center"/>
        <w:rPr>
          <w:rFonts w:asciiTheme="majorHAnsi" w:hAnsiTheme="majorHAnsi" w:cstheme="majorHAnsi"/>
          <w:b/>
          <w:bCs/>
          <w:color w:val="002060"/>
          <w:sz w:val="22"/>
          <w:szCs w:val="22"/>
          <w:lang w:val="en-US"/>
        </w:rPr>
        <w:sectPr w:rsidR="002E280F" w:rsidRPr="002444F4" w:rsidSect="00E51F4E">
          <w:headerReference w:type="default" r:id="rId10"/>
          <w:footerReference w:type="default" r:id="rId11"/>
          <w:type w:val="continuous"/>
          <w:pgSz w:w="11906" w:h="16838" w:code="9"/>
          <w:pgMar w:top="1440" w:right="1440" w:bottom="816" w:left="1440" w:header="0" w:footer="1361" w:gutter="0"/>
          <w:cols w:space="708"/>
          <w:docGrid w:linePitch="360"/>
        </w:sectPr>
      </w:pPr>
      <w:r>
        <w:rPr>
          <w:rFonts w:asciiTheme="majorHAnsi" w:hAnsiTheme="majorHAnsi" w:cstheme="majorHAnsi"/>
          <w:b/>
          <w:bCs/>
          <w:color w:val="002060"/>
          <w:sz w:val="22"/>
          <w:szCs w:val="22"/>
          <w:lang w:val="en-US"/>
        </w:rPr>
        <w:t>Contact us</w:t>
      </w:r>
    </w:p>
    <w:p w14:paraId="7F2D0D39" w14:textId="77777777" w:rsidR="002444F4" w:rsidRPr="00C6240E" w:rsidRDefault="002444F4" w:rsidP="00B2056C">
      <w:pPr>
        <w:spacing w:after="120"/>
        <w:jc w:val="both"/>
        <w:rPr>
          <w:rFonts w:asciiTheme="majorHAnsi" w:hAnsiTheme="majorHAnsi" w:cstheme="majorHAnsi"/>
          <w:b/>
          <w:bCs/>
          <w:color w:val="002060"/>
          <w:lang w:val="en-US"/>
        </w:rPr>
      </w:pPr>
    </w:p>
    <w:p w14:paraId="1D9F367B" w14:textId="1B44AE25" w:rsidR="00B2056C" w:rsidRDefault="00DA664A" w:rsidP="00D63487">
      <w:pPr>
        <w:spacing w:after="160"/>
        <w:jc w:val="both"/>
        <w:rPr>
          <w:rFonts w:asciiTheme="majorHAnsi" w:hAnsiTheme="majorHAnsi" w:cstheme="majorHAnsi"/>
          <w:color w:val="002060"/>
          <w:sz w:val="22"/>
          <w:szCs w:val="22"/>
          <w:lang w:val="en-US"/>
        </w:rPr>
      </w:pPr>
      <w:r>
        <w:rPr>
          <w:rFonts w:asciiTheme="majorHAnsi" w:hAnsiTheme="majorHAnsi" w:cstheme="majorHAnsi"/>
          <w:b/>
          <w:bCs/>
          <w:noProof/>
          <w:color w:val="002060"/>
          <w:lang w:val="en-US"/>
        </w:rPr>
        <w:drawing>
          <wp:anchor distT="0" distB="0" distL="114300" distR="114300" simplePos="0" relativeHeight="251658240" behindDoc="0" locked="0" layoutInCell="1" allowOverlap="1" wp14:anchorId="6D4B1E16" wp14:editId="3E2646EC">
            <wp:simplePos x="0" y="0"/>
            <wp:positionH relativeFrom="column">
              <wp:posOffset>1222209</wp:posOffset>
            </wp:positionH>
            <wp:positionV relativeFrom="paragraph">
              <wp:posOffset>132824</wp:posOffset>
            </wp:positionV>
            <wp:extent cx="847643" cy="1242193"/>
            <wp:effectExtent l="19050" t="19050" r="10160" b="15240"/>
            <wp:wrapNone/>
            <wp:docPr id="533080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80384" name="Picture 533080384"/>
                    <pic:cNvPicPr/>
                  </pic:nvPicPr>
                  <pic:blipFill rotWithShape="1">
                    <a:blip r:embed="rId12" cstate="print">
                      <a:extLst>
                        <a:ext uri="{28A0092B-C50C-407E-A947-70E740481C1C}">
                          <a14:useLocalDpi xmlns:a14="http://schemas.microsoft.com/office/drawing/2010/main" val="0"/>
                        </a:ext>
                      </a:extLst>
                    </a:blip>
                    <a:srcRect l="27087" r="27433"/>
                    <a:stretch/>
                  </pic:blipFill>
                  <pic:spPr bwMode="auto">
                    <a:xfrm>
                      <a:off x="0" y="0"/>
                      <a:ext cx="849751" cy="1245283"/>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0E3ACB" w14:textId="77777777" w:rsidR="00B2056C" w:rsidRDefault="00B2056C" w:rsidP="00D63487">
      <w:pPr>
        <w:spacing w:after="160"/>
        <w:jc w:val="both"/>
        <w:rPr>
          <w:rFonts w:asciiTheme="majorHAnsi" w:hAnsiTheme="majorHAnsi" w:cstheme="majorHAnsi"/>
          <w:color w:val="002060"/>
          <w:sz w:val="22"/>
          <w:szCs w:val="22"/>
          <w:lang w:val="en-US"/>
        </w:rPr>
        <w:sectPr w:rsidR="00B2056C" w:rsidSect="00E51F4E">
          <w:type w:val="continuous"/>
          <w:pgSz w:w="11906" w:h="16838" w:code="9"/>
          <w:pgMar w:top="1440" w:right="1440" w:bottom="816" w:left="1440" w:header="0" w:footer="1361" w:gutter="0"/>
          <w:cols w:num="2" w:space="708"/>
          <w:docGrid w:linePitch="360"/>
        </w:sectPr>
      </w:pPr>
    </w:p>
    <w:p w14:paraId="0F375883" w14:textId="7E957B5B" w:rsidR="00462082" w:rsidRDefault="00371972" w:rsidP="00FD1050">
      <w:pPr>
        <w:spacing w:after="120"/>
        <w:jc w:val="both"/>
        <w:rPr>
          <w:rFonts w:asciiTheme="majorHAnsi" w:hAnsiTheme="majorHAnsi" w:cstheme="majorHAnsi"/>
          <w:b/>
          <w:bCs/>
          <w:color w:val="002060"/>
          <w:lang w:val="en-US"/>
        </w:rPr>
      </w:pPr>
      <w:proofErr w:type="spellStart"/>
      <w:r>
        <w:rPr>
          <w:rFonts w:asciiTheme="majorHAnsi" w:hAnsiTheme="majorHAnsi" w:cstheme="majorHAnsi"/>
          <w:b/>
          <w:bCs/>
          <w:color w:val="002060"/>
          <w:lang w:val="en-US"/>
        </w:rPr>
        <w:t>Samiirah</w:t>
      </w:r>
      <w:proofErr w:type="spellEnd"/>
      <w:r>
        <w:rPr>
          <w:rFonts w:asciiTheme="majorHAnsi" w:hAnsiTheme="majorHAnsi" w:cstheme="majorHAnsi"/>
          <w:b/>
          <w:bCs/>
          <w:color w:val="002060"/>
          <w:lang w:val="en-US"/>
        </w:rPr>
        <w:t xml:space="preserve"> BAHEMIA (FCCA)</w:t>
      </w:r>
      <w:r w:rsidR="00FD1050" w:rsidRPr="00BB40D9">
        <w:rPr>
          <w:rFonts w:asciiTheme="majorHAnsi" w:hAnsiTheme="majorHAnsi" w:cstheme="majorHAnsi"/>
          <w:b/>
          <w:bCs/>
          <w:color w:val="002060"/>
          <w:lang w:val="en-US"/>
        </w:rPr>
        <w:t xml:space="preserve"> </w:t>
      </w:r>
    </w:p>
    <w:p w14:paraId="1CAB33B6" w14:textId="5953D338" w:rsidR="00FD1050" w:rsidRDefault="00FD1050" w:rsidP="00FD1050">
      <w:pPr>
        <w:spacing w:after="120"/>
        <w:jc w:val="both"/>
        <w:rPr>
          <w:rFonts w:asciiTheme="majorHAnsi" w:hAnsiTheme="majorHAnsi" w:cstheme="majorHAnsi"/>
          <w:b/>
          <w:bCs/>
          <w:color w:val="002060"/>
          <w:lang w:val="en-US"/>
        </w:rPr>
      </w:pPr>
      <w:r>
        <w:rPr>
          <w:rFonts w:asciiTheme="majorHAnsi" w:hAnsiTheme="majorHAnsi" w:cstheme="majorHAnsi"/>
          <w:b/>
          <w:bCs/>
          <w:color w:val="002060"/>
          <w:lang w:val="en-US"/>
        </w:rPr>
        <w:t>Manager</w:t>
      </w:r>
      <w:r w:rsidR="00371972">
        <w:rPr>
          <w:rFonts w:asciiTheme="majorHAnsi" w:hAnsiTheme="majorHAnsi" w:cstheme="majorHAnsi"/>
          <w:b/>
          <w:bCs/>
          <w:color w:val="002060"/>
          <w:lang w:val="en-US"/>
        </w:rPr>
        <w:t xml:space="preserve"> - Tax Advisory Department</w:t>
      </w:r>
    </w:p>
    <w:p w14:paraId="50DF9B74" w14:textId="1951759B" w:rsidR="00B2056C" w:rsidRPr="00725375" w:rsidRDefault="00B2056C" w:rsidP="00B2056C">
      <w:pPr>
        <w:spacing w:after="120"/>
        <w:jc w:val="both"/>
        <w:rPr>
          <w:rFonts w:asciiTheme="majorHAnsi" w:hAnsiTheme="majorHAnsi" w:cstheme="majorHAnsi"/>
          <w:color w:val="002060"/>
          <w:u w:val="single"/>
          <w:lang w:val="en-US"/>
        </w:rPr>
      </w:pPr>
      <w:r>
        <w:rPr>
          <w:rFonts w:asciiTheme="majorHAnsi" w:hAnsiTheme="majorHAnsi" w:cstheme="majorHAnsi"/>
          <w:color w:val="002060"/>
          <w:u w:val="single"/>
          <w:lang w:val="en-US"/>
        </w:rPr>
        <w:t>SBahemia</w:t>
      </w:r>
      <w:r w:rsidRPr="00725375">
        <w:rPr>
          <w:rFonts w:asciiTheme="majorHAnsi" w:hAnsiTheme="majorHAnsi" w:cstheme="majorHAnsi"/>
          <w:color w:val="002060"/>
          <w:u w:val="single"/>
          <w:lang w:val="en-US"/>
        </w:rPr>
        <w:t>@dtos-mu.com</w:t>
      </w:r>
    </w:p>
    <w:p w14:paraId="2D5B8C1B" w14:textId="6EE438DC" w:rsidR="00B2056C" w:rsidRPr="00D63487" w:rsidRDefault="00B2056C" w:rsidP="00B2056C">
      <w:pPr>
        <w:spacing w:after="120"/>
        <w:jc w:val="both"/>
        <w:rPr>
          <w:rFonts w:asciiTheme="majorHAnsi" w:hAnsiTheme="majorHAnsi" w:cstheme="majorHAnsi"/>
          <w:color w:val="002060"/>
          <w:sz w:val="22"/>
          <w:szCs w:val="22"/>
          <w:lang w:val="en-US"/>
        </w:rPr>
      </w:pPr>
      <w:r w:rsidRPr="00BB40D9">
        <w:rPr>
          <w:rFonts w:asciiTheme="majorHAnsi" w:hAnsiTheme="majorHAnsi" w:cstheme="majorHAnsi"/>
          <w:color w:val="002060"/>
          <w:lang w:val="en-US"/>
        </w:rPr>
        <w:t>T</w:t>
      </w:r>
      <w:r w:rsidRPr="00725375">
        <w:rPr>
          <w:rFonts w:asciiTheme="majorHAnsi" w:hAnsiTheme="majorHAnsi" w:cstheme="majorHAnsi"/>
          <w:color w:val="002060"/>
          <w:lang w:val="en-US"/>
        </w:rPr>
        <w:t>: +</w:t>
      </w:r>
      <w:r>
        <w:rPr>
          <w:rFonts w:asciiTheme="majorHAnsi" w:hAnsiTheme="majorHAnsi" w:cstheme="majorHAnsi"/>
          <w:color w:val="002060"/>
          <w:lang w:val="en-US"/>
        </w:rPr>
        <w:t xml:space="preserve">230 </w:t>
      </w:r>
      <w:r w:rsidRPr="00725375">
        <w:rPr>
          <w:rFonts w:asciiTheme="majorHAnsi" w:hAnsiTheme="majorHAnsi" w:cstheme="majorHAnsi"/>
          <w:color w:val="002060"/>
          <w:lang w:val="en-US"/>
        </w:rPr>
        <w:t>5</w:t>
      </w:r>
      <w:r>
        <w:rPr>
          <w:rFonts w:asciiTheme="majorHAnsi" w:hAnsiTheme="majorHAnsi" w:cstheme="majorHAnsi"/>
          <w:color w:val="002060"/>
          <w:lang w:val="en-US"/>
        </w:rPr>
        <w:t>250 3531</w:t>
      </w:r>
    </w:p>
    <w:p w14:paraId="6BEB7D95" w14:textId="21CA084A" w:rsidR="00A77E0C" w:rsidRDefault="00A77E0C" w:rsidP="00FD1050">
      <w:pPr>
        <w:spacing w:after="120"/>
        <w:jc w:val="both"/>
        <w:rPr>
          <w:rFonts w:asciiTheme="majorHAnsi" w:hAnsiTheme="majorHAnsi" w:cstheme="majorHAnsi"/>
          <w:b/>
          <w:bCs/>
          <w:color w:val="002060"/>
          <w:lang w:val="en-US"/>
        </w:rPr>
      </w:pPr>
    </w:p>
    <w:p w14:paraId="083FC38B" w14:textId="5EACC53D" w:rsidR="00D16256" w:rsidRPr="00406623" w:rsidRDefault="002444F4" w:rsidP="00D16256">
      <w:pPr>
        <w:spacing w:after="120"/>
        <w:jc w:val="both"/>
        <w:rPr>
          <w:rFonts w:asciiTheme="majorHAnsi" w:hAnsiTheme="majorHAnsi" w:cstheme="majorHAnsi"/>
          <w:b/>
          <w:bCs/>
          <w:color w:val="002060"/>
          <w:lang w:val="en-US"/>
        </w:rPr>
      </w:pPr>
      <w:r>
        <w:rPr>
          <w:rFonts w:asciiTheme="majorHAnsi" w:hAnsiTheme="majorHAnsi" w:cstheme="majorHAnsi"/>
          <w:noProof/>
          <w:color w:val="002060"/>
          <w:sz w:val="22"/>
          <w:szCs w:val="22"/>
          <w:lang w:val="en-US"/>
        </w:rPr>
        <w:drawing>
          <wp:anchor distT="0" distB="0" distL="114300" distR="114300" simplePos="0" relativeHeight="251658241" behindDoc="0" locked="0" layoutInCell="1" allowOverlap="1" wp14:anchorId="49EEEDE9" wp14:editId="18B04A7C">
            <wp:simplePos x="0" y="0"/>
            <wp:positionH relativeFrom="column">
              <wp:posOffset>4312754</wp:posOffset>
            </wp:positionH>
            <wp:positionV relativeFrom="paragraph">
              <wp:posOffset>44615</wp:posOffset>
            </wp:positionV>
            <wp:extent cx="847643" cy="1241583"/>
            <wp:effectExtent l="19050" t="19050" r="10160" b="158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cstate="print">
                      <a:extLst>
                        <a:ext uri="{28A0092B-C50C-407E-A947-70E740481C1C}">
                          <a14:useLocalDpi xmlns:a14="http://schemas.microsoft.com/office/drawing/2010/main" val="0"/>
                        </a:ext>
                      </a:extLst>
                    </a:blip>
                    <a:srcRect l="24585" r="26875"/>
                    <a:stretch/>
                  </pic:blipFill>
                  <pic:spPr bwMode="auto">
                    <a:xfrm>
                      <a:off x="0" y="0"/>
                      <a:ext cx="849789" cy="1244727"/>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6256" w:rsidRPr="00406623">
        <w:rPr>
          <w:rFonts w:asciiTheme="majorHAnsi" w:hAnsiTheme="majorHAnsi" w:cstheme="majorHAnsi"/>
          <w:b/>
          <w:bCs/>
          <w:color w:val="002060"/>
          <w:lang w:val="en-US"/>
        </w:rPr>
        <w:t xml:space="preserve">Mario </w:t>
      </w:r>
      <w:r w:rsidR="00C6240E" w:rsidRPr="00406623">
        <w:rPr>
          <w:rFonts w:asciiTheme="majorHAnsi" w:hAnsiTheme="majorHAnsi" w:cstheme="majorHAnsi"/>
          <w:b/>
          <w:bCs/>
          <w:color w:val="002060"/>
          <w:lang w:val="en-US"/>
        </w:rPr>
        <w:t>HANNELAS</w:t>
      </w:r>
      <w:r w:rsidR="00D16256" w:rsidRPr="00406623">
        <w:rPr>
          <w:rFonts w:asciiTheme="majorHAnsi" w:hAnsiTheme="majorHAnsi" w:cstheme="majorHAnsi"/>
          <w:b/>
          <w:bCs/>
          <w:color w:val="002060"/>
          <w:lang w:val="en-US"/>
        </w:rPr>
        <w:t xml:space="preserve"> (FCCA)</w:t>
      </w:r>
      <w:r w:rsidR="00C6240E" w:rsidRPr="00406623">
        <w:rPr>
          <w:rFonts w:asciiTheme="majorHAnsi" w:hAnsiTheme="majorHAnsi" w:cstheme="majorHAnsi"/>
          <w:b/>
          <w:bCs/>
          <w:color w:val="002060"/>
          <w:lang w:val="en-US"/>
        </w:rPr>
        <w:t xml:space="preserve"> </w:t>
      </w:r>
    </w:p>
    <w:p w14:paraId="113D5875" w14:textId="7F60156A" w:rsidR="00D16256" w:rsidRDefault="00D16256" w:rsidP="00D16256">
      <w:pPr>
        <w:spacing w:after="120"/>
        <w:jc w:val="both"/>
        <w:rPr>
          <w:rFonts w:asciiTheme="majorHAnsi" w:hAnsiTheme="majorHAnsi" w:cstheme="majorHAnsi"/>
          <w:b/>
          <w:bCs/>
          <w:color w:val="002060"/>
          <w:lang w:val="en-US"/>
        </w:rPr>
      </w:pPr>
      <w:r w:rsidRPr="00C6240E">
        <w:rPr>
          <w:rFonts w:asciiTheme="majorHAnsi" w:hAnsiTheme="majorHAnsi" w:cstheme="majorHAnsi"/>
          <w:b/>
          <w:bCs/>
          <w:color w:val="002060"/>
          <w:lang w:val="en-US"/>
        </w:rPr>
        <w:t>Head of Tax Advisory Department</w:t>
      </w:r>
    </w:p>
    <w:p w14:paraId="57061429" w14:textId="1748F62E" w:rsidR="00B2056C" w:rsidRPr="00725375" w:rsidRDefault="0005686F" w:rsidP="00B2056C">
      <w:pPr>
        <w:spacing w:after="120"/>
        <w:jc w:val="both"/>
        <w:rPr>
          <w:rFonts w:asciiTheme="majorHAnsi" w:hAnsiTheme="majorHAnsi" w:cstheme="majorHAnsi"/>
          <w:color w:val="002060"/>
          <w:u w:val="single"/>
          <w:lang w:val="en-US"/>
        </w:rPr>
      </w:pPr>
      <w:r>
        <w:rPr>
          <w:rFonts w:asciiTheme="majorHAnsi" w:hAnsiTheme="majorHAnsi" w:cstheme="majorHAnsi"/>
          <w:color w:val="002060"/>
          <w:u w:val="single"/>
          <w:lang w:val="en-US"/>
        </w:rPr>
        <w:t>MHannelas</w:t>
      </w:r>
      <w:r w:rsidR="00B2056C" w:rsidRPr="00725375">
        <w:rPr>
          <w:rFonts w:asciiTheme="majorHAnsi" w:hAnsiTheme="majorHAnsi" w:cstheme="majorHAnsi"/>
          <w:color w:val="002060"/>
          <w:u w:val="single"/>
          <w:lang w:val="en-US"/>
        </w:rPr>
        <w:t>@dtos-mu.com</w:t>
      </w:r>
    </w:p>
    <w:p w14:paraId="0B5A12E0" w14:textId="6904DE92" w:rsidR="00D00F43" w:rsidRPr="00D00F43" w:rsidRDefault="00B2056C" w:rsidP="00D00F43">
      <w:pPr>
        <w:spacing w:after="120"/>
        <w:jc w:val="both"/>
        <w:rPr>
          <w:rFonts w:asciiTheme="majorHAnsi" w:hAnsiTheme="majorHAnsi" w:cstheme="majorHAnsi"/>
          <w:color w:val="002060"/>
          <w:sz w:val="22"/>
          <w:szCs w:val="22"/>
          <w:lang w:val="en-US"/>
        </w:rPr>
      </w:pPr>
      <w:r w:rsidRPr="00BB40D9">
        <w:rPr>
          <w:rFonts w:asciiTheme="majorHAnsi" w:hAnsiTheme="majorHAnsi" w:cstheme="majorHAnsi"/>
          <w:color w:val="002060"/>
          <w:lang w:val="en-US"/>
        </w:rPr>
        <w:t>T</w:t>
      </w:r>
      <w:r w:rsidRPr="00725375">
        <w:rPr>
          <w:rFonts w:asciiTheme="majorHAnsi" w:hAnsiTheme="majorHAnsi" w:cstheme="majorHAnsi"/>
          <w:color w:val="002060"/>
          <w:lang w:val="en-US"/>
        </w:rPr>
        <w:t>: +</w:t>
      </w:r>
      <w:r>
        <w:rPr>
          <w:rFonts w:asciiTheme="majorHAnsi" w:hAnsiTheme="majorHAnsi" w:cstheme="majorHAnsi"/>
          <w:color w:val="002060"/>
          <w:lang w:val="en-US"/>
        </w:rPr>
        <w:t xml:space="preserve">230 </w:t>
      </w:r>
      <w:r w:rsidRPr="00725375">
        <w:rPr>
          <w:rFonts w:asciiTheme="majorHAnsi" w:hAnsiTheme="majorHAnsi" w:cstheme="majorHAnsi"/>
          <w:color w:val="002060"/>
          <w:lang w:val="en-US"/>
        </w:rPr>
        <w:t>5</w:t>
      </w:r>
      <w:r>
        <w:rPr>
          <w:rFonts w:asciiTheme="majorHAnsi" w:hAnsiTheme="majorHAnsi" w:cstheme="majorHAnsi"/>
          <w:color w:val="002060"/>
          <w:lang w:val="en-US"/>
        </w:rPr>
        <w:t>25</w:t>
      </w:r>
      <w:r w:rsidR="0005686F">
        <w:rPr>
          <w:rFonts w:asciiTheme="majorHAnsi" w:hAnsiTheme="majorHAnsi" w:cstheme="majorHAnsi"/>
          <w:color w:val="002060"/>
          <w:lang w:val="en-US"/>
        </w:rPr>
        <w:t>8 4751</w:t>
      </w:r>
    </w:p>
    <w:sectPr w:rsidR="00D00F43" w:rsidRPr="00D00F43" w:rsidSect="00E51F4E">
      <w:headerReference w:type="default" r:id="rId14"/>
      <w:footerReference w:type="default" r:id="rId15"/>
      <w:type w:val="continuous"/>
      <w:pgSz w:w="11906" w:h="16838" w:code="9"/>
      <w:pgMar w:top="1440" w:right="1440" w:bottom="816" w:left="1440" w:header="0"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1AAB7" w14:textId="77777777" w:rsidR="004061CF" w:rsidRDefault="004061CF" w:rsidP="002373F5">
      <w:r>
        <w:separator/>
      </w:r>
    </w:p>
  </w:endnote>
  <w:endnote w:type="continuationSeparator" w:id="0">
    <w:p w14:paraId="4997F5D7" w14:textId="77777777" w:rsidR="004061CF" w:rsidRDefault="004061CF" w:rsidP="002373F5">
      <w:r>
        <w:continuationSeparator/>
      </w:r>
    </w:p>
  </w:endnote>
  <w:endnote w:type="continuationNotice" w:id="1">
    <w:p w14:paraId="70ADC3E8" w14:textId="77777777" w:rsidR="004061CF" w:rsidRDefault="00406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63055" w14:textId="7F7ABDE9" w:rsidR="00CF7589" w:rsidRPr="00413B95" w:rsidRDefault="004A79DA" w:rsidP="00D56ECB">
    <w:pPr>
      <w:pStyle w:val="Footer"/>
      <w:tabs>
        <w:tab w:val="right" w:pos="4513"/>
      </w:tabs>
      <w:spacing w:line="360" w:lineRule="auto"/>
      <w:ind w:right="-613"/>
      <w:rPr>
        <w:rFonts w:ascii="Georgia" w:hAnsi="Georgia" w:cstheme="majorHAnsi"/>
        <w:sz w:val="18"/>
        <w:szCs w:val="18"/>
        <w:lang w:val="en-US"/>
      </w:rPr>
    </w:pPr>
    <w:r w:rsidRPr="00413B95">
      <w:rPr>
        <w:rFonts w:ascii="Georgia" w:hAnsi="Georgia" w:cstheme="majorHAnsi"/>
        <w:noProof/>
        <w:sz w:val="18"/>
        <w:szCs w:val="18"/>
      </w:rPr>
      <w:drawing>
        <wp:anchor distT="0" distB="0" distL="114300" distR="114300" simplePos="0" relativeHeight="251658241" behindDoc="1" locked="0" layoutInCell="1" allowOverlap="1" wp14:anchorId="2E0DEE7D" wp14:editId="3BB43FF1">
          <wp:simplePos x="0" y="0"/>
          <wp:positionH relativeFrom="column">
            <wp:posOffset>-1055370</wp:posOffset>
          </wp:positionH>
          <wp:positionV relativeFrom="paragraph">
            <wp:posOffset>551815</wp:posOffset>
          </wp:positionV>
          <wp:extent cx="7742555" cy="52070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2555"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71CA9" w14:textId="77777777" w:rsidR="00462082" w:rsidRPr="00413B95" w:rsidRDefault="00462082" w:rsidP="00D56ECB">
    <w:pPr>
      <w:pStyle w:val="Footer"/>
      <w:tabs>
        <w:tab w:val="right" w:pos="4513"/>
      </w:tabs>
      <w:spacing w:line="360" w:lineRule="auto"/>
      <w:ind w:right="-613"/>
      <w:rPr>
        <w:rFonts w:ascii="Georgia" w:hAnsi="Georgia" w:cstheme="majorHAnsi"/>
        <w:sz w:val="18"/>
        <w:szCs w:val="18"/>
        <w:lang w:val="en-US"/>
      </w:rPr>
    </w:pPr>
    <w:r w:rsidRPr="00413B95">
      <w:rPr>
        <w:rFonts w:ascii="Georgia" w:hAnsi="Georgia" w:cstheme="majorHAnsi"/>
        <w:noProof/>
        <w:sz w:val="18"/>
        <w:szCs w:val="18"/>
      </w:rPr>
      <w:drawing>
        <wp:anchor distT="0" distB="0" distL="114300" distR="114300" simplePos="0" relativeHeight="251658243" behindDoc="1" locked="0" layoutInCell="1" allowOverlap="1" wp14:anchorId="45A4679E" wp14:editId="4F27E43A">
          <wp:simplePos x="0" y="0"/>
          <wp:positionH relativeFrom="column">
            <wp:posOffset>-1055370</wp:posOffset>
          </wp:positionH>
          <wp:positionV relativeFrom="paragraph">
            <wp:posOffset>551815</wp:posOffset>
          </wp:positionV>
          <wp:extent cx="7742555" cy="520700"/>
          <wp:effectExtent l="0" t="0" r="4445" b="0"/>
          <wp:wrapNone/>
          <wp:docPr id="472227994" name="Picture 47222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2555"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D7E46" w14:textId="77777777" w:rsidR="004061CF" w:rsidRDefault="004061CF" w:rsidP="002373F5">
      <w:r>
        <w:separator/>
      </w:r>
    </w:p>
  </w:footnote>
  <w:footnote w:type="continuationSeparator" w:id="0">
    <w:p w14:paraId="13C2F317" w14:textId="77777777" w:rsidR="004061CF" w:rsidRDefault="004061CF" w:rsidP="002373F5">
      <w:r>
        <w:continuationSeparator/>
      </w:r>
    </w:p>
  </w:footnote>
  <w:footnote w:type="continuationNotice" w:id="1">
    <w:p w14:paraId="170AF602" w14:textId="77777777" w:rsidR="004061CF" w:rsidRDefault="00406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C7A22" w14:textId="15ACC54B" w:rsidR="002373F5" w:rsidRDefault="002373F5">
    <w:pPr>
      <w:pStyle w:val="Header"/>
    </w:pPr>
    <w:r>
      <w:rPr>
        <w:noProof/>
      </w:rPr>
      <w:drawing>
        <wp:anchor distT="0" distB="0" distL="114300" distR="114300" simplePos="0" relativeHeight="251658240" behindDoc="1" locked="0" layoutInCell="1" allowOverlap="1" wp14:anchorId="419AE257" wp14:editId="5971C984">
          <wp:simplePos x="0" y="0"/>
          <wp:positionH relativeFrom="column">
            <wp:posOffset>-952500</wp:posOffset>
          </wp:positionH>
          <wp:positionV relativeFrom="paragraph">
            <wp:posOffset>-76200</wp:posOffset>
          </wp:positionV>
          <wp:extent cx="7640320" cy="1878965"/>
          <wp:effectExtent l="0" t="0" r="5080" b="0"/>
          <wp:wrapTight wrapText="bothSides">
            <wp:wrapPolygon edited="0">
              <wp:start x="0" y="0"/>
              <wp:lineTo x="0" y="15038"/>
              <wp:lineTo x="1041" y="16351"/>
              <wp:lineTo x="1041" y="19125"/>
              <wp:lineTo x="1400" y="19125"/>
              <wp:lineTo x="1436" y="18833"/>
              <wp:lineTo x="5027" y="16497"/>
              <wp:lineTo x="5852" y="16351"/>
              <wp:lineTo x="6714" y="15184"/>
              <wp:lineTo x="6678" y="11680"/>
              <wp:lineTo x="21578" y="10366"/>
              <wp:lineTo x="2157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rcRect l="509" r="509"/>
                  <a:stretch>
                    <a:fillRect/>
                  </a:stretch>
                </pic:blipFill>
                <pic:spPr bwMode="auto">
                  <a:xfrm>
                    <a:off x="0" y="0"/>
                    <a:ext cx="7640320" cy="187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67C59" w14:textId="0A0FA800" w:rsidR="002373F5" w:rsidRDefault="00237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D0902" w14:textId="77777777" w:rsidR="00462082" w:rsidRDefault="00462082">
    <w:pPr>
      <w:pStyle w:val="Header"/>
    </w:pPr>
    <w:r>
      <w:rPr>
        <w:noProof/>
      </w:rPr>
      <w:drawing>
        <wp:anchor distT="0" distB="0" distL="114300" distR="114300" simplePos="0" relativeHeight="251658242" behindDoc="1" locked="0" layoutInCell="1" allowOverlap="1" wp14:anchorId="53BFDD06" wp14:editId="028F11A4">
          <wp:simplePos x="0" y="0"/>
          <wp:positionH relativeFrom="column">
            <wp:posOffset>-952500</wp:posOffset>
          </wp:positionH>
          <wp:positionV relativeFrom="paragraph">
            <wp:posOffset>-76200</wp:posOffset>
          </wp:positionV>
          <wp:extent cx="7640320" cy="1878965"/>
          <wp:effectExtent l="0" t="0" r="5080" b="0"/>
          <wp:wrapTight wrapText="bothSides">
            <wp:wrapPolygon edited="0">
              <wp:start x="0" y="0"/>
              <wp:lineTo x="0" y="15038"/>
              <wp:lineTo x="1041" y="16351"/>
              <wp:lineTo x="1041" y="19125"/>
              <wp:lineTo x="1400" y="19125"/>
              <wp:lineTo x="1436" y="18833"/>
              <wp:lineTo x="5027" y="16497"/>
              <wp:lineTo x="5852" y="16351"/>
              <wp:lineTo x="6714" y="15184"/>
              <wp:lineTo x="6678" y="11680"/>
              <wp:lineTo x="21578" y="10366"/>
              <wp:lineTo x="21578" y="0"/>
              <wp:lineTo x="0" y="0"/>
            </wp:wrapPolygon>
          </wp:wrapTight>
          <wp:docPr id="1840683257" name="Picture 184068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rcRect l="509" r="509"/>
                  <a:stretch>
                    <a:fillRect/>
                  </a:stretch>
                </pic:blipFill>
                <pic:spPr bwMode="auto">
                  <a:xfrm>
                    <a:off x="0" y="0"/>
                    <a:ext cx="7640320" cy="187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2F7277" w14:textId="77777777" w:rsidR="00462082" w:rsidRDefault="0046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104D3"/>
    <w:multiLevelType w:val="hybridMultilevel"/>
    <w:tmpl w:val="692C2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224C0"/>
    <w:multiLevelType w:val="hybridMultilevel"/>
    <w:tmpl w:val="261C6D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1D294A"/>
    <w:multiLevelType w:val="hybridMultilevel"/>
    <w:tmpl w:val="8304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274A"/>
    <w:multiLevelType w:val="multilevel"/>
    <w:tmpl w:val="FCF6E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043EE4"/>
    <w:multiLevelType w:val="hybridMultilevel"/>
    <w:tmpl w:val="FE6E63F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23484C89"/>
    <w:multiLevelType w:val="hybridMultilevel"/>
    <w:tmpl w:val="C082E1E0"/>
    <w:lvl w:ilvl="0" w:tplc="2000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1314CD"/>
    <w:multiLevelType w:val="multilevel"/>
    <w:tmpl w:val="45CAD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995D6D"/>
    <w:multiLevelType w:val="hybridMultilevel"/>
    <w:tmpl w:val="D1540B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D0F41F0"/>
    <w:multiLevelType w:val="hybridMultilevel"/>
    <w:tmpl w:val="4A700448"/>
    <w:lvl w:ilvl="0" w:tplc="CAF845F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1F3C39"/>
    <w:multiLevelType w:val="hybridMultilevel"/>
    <w:tmpl w:val="4CD4CD82"/>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B94072"/>
    <w:multiLevelType w:val="hybridMultilevel"/>
    <w:tmpl w:val="3566165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F255544"/>
    <w:multiLevelType w:val="hybridMultilevel"/>
    <w:tmpl w:val="D2C46A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A273E0"/>
    <w:multiLevelType w:val="hybridMultilevel"/>
    <w:tmpl w:val="2F8456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9AD4EEC"/>
    <w:multiLevelType w:val="hybridMultilevel"/>
    <w:tmpl w:val="FDEA9F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4076EC"/>
    <w:multiLevelType w:val="hybridMultilevel"/>
    <w:tmpl w:val="347866D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45FE51BC"/>
    <w:multiLevelType w:val="hybridMultilevel"/>
    <w:tmpl w:val="B25E74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71003D3"/>
    <w:multiLevelType w:val="hybridMultilevel"/>
    <w:tmpl w:val="E138CFC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7" w15:restartNumberingAfterBreak="0">
    <w:nsid w:val="481A5308"/>
    <w:multiLevelType w:val="hybridMultilevel"/>
    <w:tmpl w:val="5C50D460"/>
    <w:lvl w:ilvl="0" w:tplc="6BAC263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B06996"/>
    <w:multiLevelType w:val="hybridMultilevel"/>
    <w:tmpl w:val="D71CF5E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10E4FF8"/>
    <w:multiLevelType w:val="hybridMultilevel"/>
    <w:tmpl w:val="44C49F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DE445F"/>
    <w:multiLevelType w:val="hybridMultilevel"/>
    <w:tmpl w:val="64B63A64"/>
    <w:lvl w:ilvl="0" w:tplc="8E084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22924"/>
    <w:multiLevelType w:val="hybridMultilevel"/>
    <w:tmpl w:val="F1C46E3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2" w15:restartNumberingAfterBreak="0">
    <w:nsid w:val="55E91C5B"/>
    <w:multiLevelType w:val="hybridMultilevel"/>
    <w:tmpl w:val="2460FE70"/>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59945EB3"/>
    <w:multiLevelType w:val="hybridMultilevel"/>
    <w:tmpl w:val="8F5C365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B981E8B"/>
    <w:multiLevelType w:val="hybridMultilevel"/>
    <w:tmpl w:val="C7BCEB5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5E5C4C96"/>
    <w:multiLevelType w:val="hybridMultilevel"/>
    <w:tmpl w:val="BFBC3D38"/>
    <w:lvl w:ilvl="0" w:tplc="08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F0A3B36"/>
    <w:multiLevelType w:val="hybridMultilevel"/>
    <w:tmpl w:val="A53680E2"/>
    <w:lvl w:ilvl="0" w:tplc="4C09001B">
      <w:start w:val="1"/>
      <w:numFmt w:val="lowerRoman"/>
      <w:lvlText w:val="%1."/>
      <w:lvlJc w:val="right"/>
      <w:pPr>
        <w:ind w:left="1080" w:hanging="360"/>
      </w:pPr>
    </w:lvl>
    <w:lvl w:ilvl="1" w:tplc="4C090019" w:tentative="1">
      <w:start w:val="1"/>
      <w:numFmt w:val="lowerLetter"/>
      <w:lvlText w:val="%2."/>
      <w:lvlJc w:val="left"/>
      <w:pPr>
        <w:ind w:left="1800" w:hanging="360"/>
      </w:pPr>
    </w:lvl>
    <w:lvl w:ilvl="2" w:tplc="4C09001B" w:tentative="1">
      <w:start w:val="1"/>
      <w:numFmt w:val="lowerRoman"/>
      <w:lvlText w:val="%3."/>
      <w:lvlJc w:val="right"/>
      <w:pPr>
        <w:ind w:left="2520" w:hanging="180"/>
      </w:pPr>
    </w:lvl>
    <w:lvl w:ilvl="3" w:tplc="4C09000F" w:tentative="1">
      <w:start w:val="1"/>
      <w:numFmt w:val="decimal"/>
      <w:lvlText w:val="%4."/>
      <w:lvlJc w:val="left"/>
      <w:pPr>
        <w:ind w:left="3240" w:hanging="360"/>
      </w:pPr>
    </w:lvl>
    <w:lvl w:ilvl="4" w:tplc="4C090019" w:tentative="1">
      <w:start w:val="1"/>
      <w:numFmt w:val="lowerLetter"/>
      <w:lvlText w:val="%5."/>
      <w:lvlJc w:val="left"/>
      <w:pPr>
        <w:ind w:left="3960" w:hanging="360"/>
      </w:pPr>
    </w:lvl>
    <w:lvl w:ilvl="5" w:tplc="4C09001B" w:tentative="1">
      <w:start w:val="1"/>
      <w:numFmt w:val="lowerRoman"/>
      <w:lvlText w:val="%6."/>
      <w:lvlJc w:val="right"/>
      <w:pPr>
        <w:ind w:left="4680" w:hanging="180"/>
      </w:pPr>
    </w:lvl>
    <w:lvl w:ilvl="6" w:tplc="4C09000F" w:tentative="1">
      <w:start w:val="1"/>
      <w:numFmt w:val="decimal"/>
      <w:lvlText w:val="%7."/>
      <w:lvlJc w:val="left"/>
      <w:pPr>
        <w:ind w:left="5400" w:hanging="360"/>
      </w:pPr>
    </w:lvl>
    <w:lvl w:ilvl="7" w:tplc="4C090019" w:tentative="1">
      <w:start w:val="1"/>
      <w:numFmt w:val="lowerLetter"/>
      <w:lvlText w:val="%8."/>
      <w:lvlJc w:val="left"/>
      <w:pPr>
        <w:ind w:left="6120" w:hanging="360"/>
      </w:pPr>
    </w:lvl>
    <w:lvl w:ilvl="8" w:tplc="4C09001B" w:tentative="1">
      <w:start w:val="1"/>
      <w:numFmt w:val="lowerRoman"/>
      <w:lvlText w:val="%9."/>
      <w:lvlJc w:val="right"/>
      <w:pPr>
        <w:ind w:left="6840" w:hanging="180"/>
      </w:pPr>
    </w:lvl>
  </w:abstractNum>
  <w:abstractNum w:abstractNumId="27" w15:restartNumberingAfterBreak="0">
    <w:nsid w:val="66FF0D34"/>
    <w:multiLevelType w:val="hybridMultilevel"/>
    <w:tmpl w:val="5D366B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5223E"/>
    <w:multiLevelType w:val="hybridMultilevel"/>
    <w:tmpl w:val="8DBC0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9093EE9"/>
    <w:multiLevelType w:val="hybridMultilevel"/>
    <w:tmpl w:val="18140B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EFD2A18"/>
    <w:multiLevelType w:val="hybridMultilevel"/>
    <w:tmpl w:val="B9F6C7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B386E"/>
    <w:multiLevelType w:val="hybridMultilevel"/>
    <w:tmpl w:val="294EFB0C"/>
    <w:lvl w:ilvl="0" w:tplc="2000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040695"/>
    <w:multiLevelType w:val="hybridMultilevel"/>
    <w:tmpl w:val="7D080A9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2323A39"/>
    <w:multiLevelType w:val="hybridMultilevel"/>
    <w:tmpl w:val="441C4A92"/>
    <w:lvl w:ilvl="0" w:tplc="EB2E000E">
      <w:start w:val="1"/>
      <w:numFmt w:val="lowerRoman"/>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7B2834"/>
    <w:multiLevelType w:val="hybridMultilevel"/>
    <w:tmpl w:val="DCFAE55C"/>
    <w:lvl w:ilvl="0" w:tplc="20000013">
      <w:start w:val="1"/>
      <w:numFmt w:val="upperRoman"/>
      <w:lvlText w:val="%1."/>
      <w:lvlJc w:val="right"/>
      <w:pPr>
        <w:ind w:left="1080" w:hanging="360"/>
      </w:p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72C54B93"/>
    <w:multiLevelType w:val="hybridMultilevel"/>
    <w:tmpl w:val="CBACFCA8"/>
    <w:lvl w:ilvl="0" w:tplc="CAF84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066F5"/>
    <w:multiLevelType w:val="hybridMultilevel"/>
    <w:tmpl w:val="F5E2933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4DF6567"/>
    <w:multiLevelType w:val="hybridMultilevel"/>
    <w:tmpl w:val="7FC65ABE"/>
    <w:lvl w:ilvl="0" w:tplc="EB2E000E">
      <w:start w:val="1"/>
      <w:numFmt w:val="lowerRoman"/>
      <w:lvlText w:val="(%1)"/>
      <w:lvlJc w:val="left"/>
      <w:pPr>
        <w:ind w:left="1080" w:hanging="72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76B27AF"/>
    <w:multiLevelType w:val="hybridMultilevel"/>
    <w:tmpl w:val="3FCE51CE"/>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9" w15:restartNumberingAfterBreak="0">
    <w:nsid w:val="7A863BF3"/>
    <w:multiLevelType w:val="hybridMultilevel"/>
    <w:tmpl w:val="14BCEA7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B814EEA"/>
    <w:multiLevelType w:val="hybridMultilevel"/>
    <w:tmpl w:val="731C529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EBE0CB6"/>
    <w:multiLevelType w:val="hybridMultilevel"/>
    <w:tmpl w:val="3B2436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99564678">
    <w:abstractNumId w:val="27"/>
  </w:num>
  <w:num w:numId="2" w16cid:durableId="2018999285">
    <w:abstractNumId w:val="30"/>
  </w:num>
  <w:num w:numId="3" w16cid:durableId="1425607921">
    <w:abstractNumId w:val="13"/>
  </w:num>
  <w:num w:numId="4" w16cid:durableId="2115202276">
    <w:abstractNumId w:val="14"/>
  </w:num>
  <w:num w:numId="5" w16cid:durableId="1841576192">
    <w:abstractNumId w:val="2"/>
  </w:num>
  <w:num w:numId="6" w16cid:durableId="2136174393">
    <w:abstractNumId w:val="11"/>
  </w:num>
  <w:num w:numId="7" w16cid:durableId="363098293">
    <w:abstractNumId w:val="6"/>
  </w:num>
  <w:num w:numId="8" w16cid:durableId="1560438173">
    <w:abstractNumId w:val="1"/>
  </w:num>
  <w:num w:numId="9" w16cid:durableId="1641153311">
    <w:abstractNumId w:val="0"/>
  </w:num>
  <w:num w:numId="10" w16cid:durableId="624387518">
    <w:abstractNumId w:val="35"/>
  </w:num>
  <w:num w:numId="11" w16cid:durableId="1689678015">
    <w:abstractNumId w:val="8"/>
  </w:num>
  <w:num w:numId="12" w16cid:durableId="1645506411">
    <w:abstractNumId w:val="17"/>
  </w:num>
  <w:num w:numId="13" w16cid:durableId="2066830007">
    <w:abstractNumId w:val="4"/>
  </w:num>
  <w:num w:numId="14" w16cid:durableId="166406569">
    <w:abstractNumId w:val="16"/>
  </w:num>
  <w:num w:numId="15" w16cid:durableId="2075546483">
    <w:abstractNumId w:val="26"/>
  </w:num>
  <w:num w:numId="16" w16cid:durableId="462969770">
    <w:abstractNumId w:val="21"/>
  </w:num>
  <w:num w:numId="17" w16cid:durableId="1609388301">
    <w:abstractNumId w:val="12"/>
  </w:num>
  <w:num w:numId="18" w16cid:durableId="1135099208">
    <w:abstractNumId w:val="15"/>
  </w:num>
  <w:num w:numId="19" w16cid:durableId="938490990">
    <w:abstractNumId w:val="32"/>
  </w:num>
  <w:num w:numId="20" w16cid:durableId="276180922">
    <w:abstractNumId w:val="36"/>
  </w:num>
  <w:num w:numId="21" w16cid:durableId="1944412592">
    <w:abstractNumId w:val="5"/>
  </w:num>
  <w:num w:numId="22" w16cid:durableId="424963690">
    <w:abstractNumId w:val="31"/>
  </w:num>
  <w:num w:numId="23" w16cid:durableId="549531926">
    <w:abstractNumId w:val="24"/>
  </w:num>
  <w:num w:numId="24" w16cid:durableId="395786844">
    <w:abstractNumId w:val="19"/>
  </w:num>
  <w:num w:numId="25" w16cid:durableId="1962228615">
    <w:abstractNumId w:val="38"/>
  </w:num>
  <w:num w:numId="26" w16cid:durableId="1931280953">
    <w:abstractNumId w:val="34"/>
  </w:num>
  <w:num w:numId="27" w16cid:durableId="1417432973">
    <w:abstractNumId w:val="9"/>
  </w:num>
  <w:num w:numId="28" w16cid:durableId="2001883401">
    <w:abstractNumId w:val="3"/>
  </w:num>
  <w:num w:numId="29" w16cid:durableId="607926762">
    <w:abstractNumId w:val="10"/>
  </w:num>
  <w:num w:numId="30" w16cid:durableId="1117410178">
    <w:abstractNumId w:val="37"/>
  </w:num>
  <w:num w:numId="31" w16cid:durableId="1249189800">
    <w:abstractNumId w:val="33"/>
  </w:num>
  <w:num w:numId="32" w16cid:durableId="1634403029">
    <w:abstractNumId w:val="18"/>
  </w:num>
  <w:num w:numId="33" w16cid:durableId="1305503166">
    <w:abstractNumId w:val="39"/>
  </w:num>
  <w:num w:numId="34" w16cid:durableId="1097096374">
    <w:abstractNumId w:val="40"/>
  </w:num>
  <w:num w:numId="35" w16cid:durableId="472524003">
    <w:abstractNumId w:val="23"/>
  </w:num>
  <w:num w:numId="36" w16cid:durableId="2035840569">
    <w:abstractNumId w:val="7"/>
  </w:num>
  <w:num w:numId="37" w16cid:durableId="1335650717">
    <w:abstractNumId w:val="29"/>
  </w:num>
  <w:num w:numId="38" w16cid:durableId="1398674803">
    <w:abstractNumId w:val="41"/>
  </w:num>
  <w:num w:numId="39" w16cid:durableId="54746167">
    <w:abstractNumId w:val="28"/>
  </w:num>
  <w:num w:numId="40" w16cid:durableId="871844959">
    <w:abstractNumId w:val="22"/>
  </w:num>
  <w:num w:numId="41" w16cid:durableId="661547544">
    <w:abstractNumId w:val="25"/>
  </w:num>
  <w:num w:numId="42" w16cid:durableId="20254737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72"/>
    <w:rsid w:val="0001710D"/>
    <w:rsid w:val="00027A62"/>
    <w:rsid w:val="00040E6B"/>
    <w:rsid w:val="00042F68"/>
    <w:rsid w:val="0004655B"/>
    <w:rsid w:val="00047C40"/>
    <w:rsid w:val="00053DAB"/>
    <w:rsid w:val="0005686F"/>
    <w:rsid w:val="000653E7"/>
    <w:rsid w:val="00071C73"/>
    <w:rsid w:val="00075FA8"/>
    <w:rsid w:val="00083E32"/>
    <w:rsid w:val="00083F65"/>
    <w:rsid w:val="00087404"/>
    <w:rsid w:val="00094C87"/>
    <w:rsid w:val="000950DF"/>
    <w:rsid w:val="000952F2"/>
    <w:rsid w:val="000A17E2"/>
    <w:rsid w:val="000B1FCF"/>
    <w:rsid w:val="000C2F71"/>
    <w:rsid w:val="000C7022"/>
    <w:rsid w:val="000D4703"/>
    <w:rsid w:val="000F388C"/>
    <w:rsid w:val="000F62BB"/>
    <w:rsid w:val="00110644"/>
    <w:rsid w:val="001202CD"/>
    <w:rsid w:val="0013055E"/>
    <w:rsid w:val="001338DB"/>
    <w:rsid w:val="001443EE"/>
    <w:rsid w:val="0015166E"/>
    <w:rsid w:val="00154EE8"/>
    <w:rsid w:val="001666FD"/>
    <w:rsid w:val="001932E9"/>
    <w:rsid w:val="001A7412"/>
    <w:rsid w:val="001B11D6"/>
    <w:rsid w:val="001B7C4D"/>
    <w:rsid w:val="001C67CC"/>
    <w:rsid w:val="001D5227"/>
    <w:rsid w:val="001E5134"/>
    <w:rsid w:val="001F0FC5"/>
    <w:rsid w:val="001F59ED"/>
    <w:rsid w:val="001F5A76"/>
    <w:rsid w:val="001F719F"/>
    <w:rsid w:val="0020209B"/>
    <w:rsid w:val="00204633"/>
    <w:rsid w:val="00206F82"/>
    <w:rsid w:val="00213465"/>
    <w:rsid w:val="002161E2"/>
    <w:rsid w:val="002321A2"/>
    <w:rsid w:val="002373F5"/>
    <w:rsid w:val="00244086"/>
    <w:rsid w:val="002444F4"/>
    <w:rsid w:val="00256F6F"/>
    <w:rsid w:val="002636ED"/>
    <w:rsid w:val="002658C9"/>
    <w:rsid w:val="0027518D"/>
    <w:rsid w:val="00291328"/>
    <w:rsid w:val="0029725F"/>
    <w:rsid w:val="002A3580"/>
    <w:rsid w:val="002A7688"/>
    <w:rsid w:val="002B0472"/>
    <w:rsid w:val="002B203C"/>
    <w:rsid w:val="002B5236"/>
    <w:rsid w:val="002B6570"/>
    <w:rsid w:val="002C0818"/>
    <w:rsid w:val="002C2893"/>
    <w:rsid w:val="002C7C57"/>
    <w:rsid w:val="002E280F"/>
    <w:rsid w:val="002E4E49"/>
    <w:rsid w:val="002F2113"/>
    <w:rsid w:val="0031284E"/>
    <w:rsid w:val="0031573E"/>
    <w:rsid w:val="003267C5"/>
    <w:rsid w:val="00331A66"/>
    <w:rsid w:val="00331DD7"/>
    <w:rsid w:val="00347119"/>
    <w:rsid w:val="00366FB5"/>
    <w:rsid w:val="00371972"/>
    <w:rsid w:val="00376DEC"/>
    <w:rsid w:val="003933B8"/>
    <w:rsid w:val="003A6370"/>
    <w:rsid w:val="003B379E"/>
    <w:rsid w:val="003C105A"/>
    <w:rsid w:val="003D1305"/>
    <w:rsid w:val="003D630A"/>
    <w:rsid w:val="003E28E0"/>
    <w:rsid w:val="0040376C"/>
    <w:rsid w:val="004061CF"/>
    <w:rsid w:val="00406623"/>
    <w:rsid w:val="00407DD5"/>
    <w:rsid w:val="00413B95"/>
    <w:rsid w:val="00415717"/>
    <w:rsid w:val="004317EB"/>
    <w:rsid w:val="00431B48"/>
    <w:rsid w:val="00442CAE"/>
    <w:rsid w:val="00444E34"/>
    <w:rsid w:val="00462082"/>
    <w:rsid w:val="0046677E"/>
    <w:rsid w:val="00466DD1"/>
    <w:rsid w:val="004818C8"/>
    <w:rsid w:val="00482245"/>
    <w:rsid w:val="004917B1"/>
    <w:rsid w:val="004A2881"/>
    <w:rsid w:val="004A79DA"/>
    <w:rsid w:val="004C0E89"/>
    <w:rsid w:val="004E6EDF"/>
    <w:rsid w:val="004E75D1"/>
    <w:rsid w:val="004E76E7"/>
    <w:rsid w:val="004F3E72"/>
    <w:rsid w:val="005001E3"/>
    <w:rsid w:val="005070C0"/>
    <w:rsid w:val="005142A0"/>
    <w:rsid w:val="00514F06"/>
    <w:rsid w:val="00532780"/>
    <w:rsid w:val="005462F9"/>
    <w:rsid w:val="005504A6"/>
    <w:rsid w:val="0055317A"/>
    <w:rsid w:val="00554315"/>
    <w:rsid w:val="005575F0"/>
    <w:rsid w:val="00564E88"/>
    <w:rsid w:val="00566D82"/>
    <w:rsid w:val="00567F6F"/>
    <w:rsid w:val="005952AA"/>
    <w:rsid w:val="00595A85"/>
    <w:rsid w:val="005A4863"/>
    <w:rsid w:val="005C534D"/>
    <w:rsid w:val="005C5C12"/>
    <w:rsid w:val="005C6295"/>
    <w:rsid w:val="005D2EF6"/>
    <w:rsid w:val="005E4531"/>
    <w:rsid w:val="00604D8D"/>
    <w:rsid w:val="00607983"/>
    <w:rsid w:val="006161E1"/>
    <w:rsid w:val="006177F7"/>
    <w:rsid w:val="006210D2"/>
    <w:rsid w:val="00626661"/>
    <w:rsid w:val="0063072F"/>
    <w:rsid w:val="00630B76"/>
    <w:rsid w:val="00643E70"/>
    <w:rsid w:val="006625C5"/>
    <w:rsid w:val="0067373E"/>
    <w:rsid w:val="00676DC4"/>
    <w:rsid w:val="006A6430"/>
    <w:rsid w:val="006B2202"/>
    <w:rsid w:val="006C0A24"/>
    <w:rsid w:val="006C78CE"/>
    <w:rsid w:val="006E1F5D"/>
    <w:rsid w:val="006F34E3"/>
    <w:rsid w:val="00712287"/>
    <w:rsid w:val="00713B05"/>
    <w:rsid w:val="007315E1"/>
    <w:rsid w:val="00756232"/>
    <w:rsid w:val="00757CDE"/>
    <w:rsid w:val="00765402"/>
    <w:rsid w:val="00774CB7"/>
    <w:rsid w:val="00776874"/>
    <w:rsid w:val="00781FB4"/>
    <w:rsid w:val="007B1872"/>
    <w:rsid w:val="007C080D"/>
    <w:rsid w:val="007C6CC4"/>
    <w:rsid w:val="007C7D60"/>
    <w:rsid w:val="007D2E64"/>
    <w:rsid w:val="007D6039"/>
    <w:rsid w:val="007E7A96"/>
    <w:rsid w:val="007E7F34"/>
    <w:rsid w:val="007F548A"/>
    <w:rsid w:val="00803D00"/>
    <w:rsid w:val="00822AF1"/>
    <w:rsid w:val="00825CAF"/>
    <w:rsid w:val="008306AF"/>
    <w:rsid w:val="008414AD"/>
    <w:rsid w:val="00852E22"/>
    <w:rsid w:val="00883305"/>
    <w:rsid w:val="008B0CE3"/>
    <w:rsid w:val="008B29EA"/>
    <w:rsid w:val="008B3452"/>
    <w:rsid w:val="008B48AB"/>
    <w:rsid w:val="008C0D10"/>
    <w:rsid w:val="008D1424"/>
    <w:rsid w:val="009150DD"/>
    <w:rsid w:val="009157A7"/>
    <w:rsid w:val="009219B9"/>
    <w:rsid w:val="00924280"/>
    <w:rsid w:val="009314AB"/>
    <w:rsid w:val="009315DB"/>
    <w:rsid w:val="009406D7"/>
    <w:rsid w:val="0094380E"/>
    <w:rsid w:val="009457C2"/>
    <w:rsid w:val="00951B77"/>
    <w:rsid w:val="00953648"/>
    <w:rsid w:val="009828E1"/>
    <w:rsid w:val="00991BF8"/>
    <w:rsid w:val="00996F15"/>
    <w:rsid w:val="009A5132"/>
    <w:rsid w:val="009C47F4"/>
    <w:rsid w:val="009D138B"/>
    <w:rsid w:val="009D4293"/>
    <w:rsid w:val="009F2E56"/>
    <w:rsid w:val="00A1105E"/>
    <w:rsid w:val="00A16BE9"/>
    <w:rsid w:val="00A23BBD"/>
    <w:rsid w:val="00A377E2"/>
    <w:rsid w:val="00A55A40"/>
    <w:rsid w:val="00A77E0C"/>
    <w:rsid w:val="00A82260"/>
    <w:rsid w:val="00AA0480"/>
    <w:rsid w:val="00AA2BFC"/>
    <w:rsid w:val="00AB3BCE"/>
    <w:rsid w:val="00AC2858"/>
    <w:rsid w:val="00AC3041"/>
    <w:rsid w:val="00AF1D87"/>
    <w:rsid w:val="00B07BC7"/>
    <w:rsid w:val="00B10AE6"/>
    <w:rsid w:val="00B12D17"/>
    <w:rsid w:val="00B2056C"/>
    <w:rsid w:val="00B2156F"/>
    <w:rsid w:val="00B33C27"/>
    <w:rsid w:val="00B42EFD"/>
    <w:rsid w:val="00B46A15"/>
    <w:rsid w:val="00B475F3"/>
    <w:rsid w:val="00B51435"/>
    <w:rsid w:val="00B56396"/>
    <w:rsid w:val="00B65E5E"/>
    <w:rsid w:val="00B71D84"/>
    <w:rsid w:val="00B77EA1"/>
    <w:rsid w:val="00B87F23"/>
    <w:rsid w:val="00B93232"/>
    <w:rsid w:val="00BA3F50"/>
    <w:rsid w:val="00BA4436"/>
    <w:rsid w:val="00BB1ED2"/>
    <w:rsid w:val="00BB236C"/>
    <w:rsid w:val="00BC5F05"/>
    <w:rsid w:val="00BD22A5"/>
    <w:rsid w:val="00BE0812"/>
    <w:rsid w:val="00BF4EEE"/>
    <w:rsid w:val="00BF7A87"/>
    <w:rsid w:val="00C078DB"/>
    <w:rsid w:val="00C14846"/>
    <w:rsid w:val="00C15910"/>
    <w:rsid w:val="00C405DF"/>
    <w:rsid w:val="00C54F09"/>
    <w:rsid w:val="00C6240E"/>
    <w:rsid w:val="00C67B2A"/>
    <w:rsid w:val="00C72AC9"/>
    <w:rsid w:val="00C73560"/>
    <w:rsid w:val="00C86FCB"/>
    <w:rsid w:val="00C87103"/>
    <w:rsid w:val="00C924AF"/>
    <w:rsid w:val="00CC5085"/>
    <w:rsid w:val="00CF0CC3"/>
    <w:rsid w:val="00CF7589"/>
    <w:rsid w:val="00D00F43"/>
    <w:rsid w:val="00D05CEC"/>
    <w:rsid w:val="00D16256"/>
    <w:rsid w:val="00D27D71"/>
    <w:rsid w:val="00D32EAC"/>
    <w:rsid w:val="00D56ECB"/>
    <w:rsid w:val="00D57D1C"/>
    <w:rsid w:val="00D63487"/>
    <w:rsid w:val="00D72C0D"/>
    <w:rsid w:val="00D72D1B"/>
    <w:rsid w:val="00D942F2"/>
    <w:rsid w:val="00DA0912"/>
    <w:rsid w:val="00DA5A53"/>
    <w:rsid w:val="00DA664A"/>
    <w:rsid w:val="00DA7567"/>
    <w:rsid w:val="00DB511F"/>
    <w:rsid w:val="00DC3355"/>
    <w:rsid w:val="00DC71CA"/>
    <w:rsid w:val="00DE04D5"/>
    <w:rsid w:val="00DE4E41"/>
    <w:rsid w:val="00DF042B"/>
    <w:rsid w:val="00E06A02"/>
    <w:rsid w:val="00E06FB4"/>
    <w:rsid w:val="00E07898"/>
    <w:rsid w:val="00E10B42"/>
    <w:rsid w:val="00E17426"/>
    <w:rsid w:val="00E17791"/>
    <w:rsid w:val="00E51F4E"/>
    <w:rsid w:val="00E645A2"/>
    <w:rsid w:val="00E71391"/>
    <w:rsid w:val="00E7486C"/>
    <w:rsid w:val="00E94B85"/>
    <w:rsid w:val="00EA6438"/>
    <w:rsid w:val="00ED4628"/>
    <w:rsid w:val="00ED6D7E"/>
    <w:rsid w:val="00ED6F04"/>
    <w:rsid w:val="00EF6D1E"/>
    <w:rsid w:val="00F24E44"/>
    <w:rsid w:val="00F55ED7"/>
    <w:rsid w:val="00F57C39"/>
    <w:rsid w:val="00F62BA2"/>
    <w:rsid w:val="00F75343"/>
    <w:rsid w:val="00F9710D"/>
    <w:rsid w:val="00FA081E"/>
    <w:rsid w:val="00FA3658"/>
    <w:rsid w:val="00FB271E"/>
    <w:rsid w:val="00FD1050"/>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D5411"/>
  <w15:chartTrackingRefBased/>
  <w15:docId w15:val="{9F58A956-8A91-534E-9007-DD29124A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3F5"/>
    <w:pPr>
      <w:tabs>
        <w:tab w:val="center" w:pos="4513"/>
        <w:tab w:val="right" w:pos="9026"/>
      </w:tabs>
    </w:pPr>
  </w:style>
  <w:style w:type="character" w:customStyle="1" w:styleId="HeaderChar">
    <w:name w:val="Header Char"/>
    <w:basedOn w:val="DefaultParagraphFont"/>
    <w:link w:val="Header"/>
    <w:uiPriority w:val="99"/>
    <w:rsid w:val="002373F5"/>
  </w:style>
  <w:style w:type="paragraph" w:styleId="Footer">
    <w:name w:val="footer"/>
    <w:basedOn w:val="Normal"/>
    <w:link w:val="FooterChar"/>
    <w:uiPriority w:val="99"/>
    <w:unhideWhenUsed/>
    <w:rsid w:val="002373F5"/>
    <w:pPr>
      <w:tabs>
        <w:tab w:val="center" w:pos="4513"/>
        <w:tab w:val="right" w:pos="9026"/>
      </w:tabs>
    </w:pPr>
  </w:style>
  <w:style w:type="character" w:customStyle="1" w:styleId="FooterChar">
    <w:name w:val="Footer Char"/>
    <w:basedOn w:val="DefaultParagraphFont"/>
    <w:link w:val="Footer"/>
    <w:uiPriority w:val="99"/>
    <w:rsid w:val="002373F5"/>
  </w:style>
  <w:style w:type="character" w:styleId="Hyperlink">
    <w:name w:val="Hyperlink"/>
    <w:basedOn w:val="DefaultParagraphFont"/>
    <w:uiPriority w:val="99"/>
    <w:unhideWhenUsed/>
    <w:rsid w:val="008B3452"/>
    <w:rPr>
      <w:color w:val="0563C1" w:themeColor="hyperlink"/>
      <w:u w:val="single"/>
    </w:rPr>
  </w:style>
  <w:style w:type="character" w:styleId="UnresolvedMention">
    <w:name w:val="Unresolved Mention"/>
    <w:basedOn w:val="DefaultParagraphFont"/>
    <w:uiPriority w:val="99"/>
    <w:semiHidden/>
    <w:unhideWhenUsed/>
    <w:rsid w:val="008B3452"/>
    <w:rPr>
      <w:color w:val="605E5C"/>
      <w:shd w:val="clear" w:color="auto" w:fill="E1DFDD"/>
    </w:rPr>
  </w:style>
  <w:style w:type="character" w:styleId="FollowedHyperlink">
    <w:name w:val="FollowedHyperlink"/>
    <w:basedOn w:val="DefaultParagraphFont"/>
    <w:uiPriority w:val="99"/>
    <w:semiHidden/>
    <w:unhideWhenUsed/>
    <w:rsid w:val="008B3452"/>
    <w:rPr>
      <w:color w:val="954F72" w:themeColor="followedHyperlink"/>
      <w:u w:val="single"/>
    </w:rPr>
  </w:style>
  <w:style w:type="paragraph" w:styleId="ListParagraph">
    <w:name w:val="List Paragraph"/>
    <w:basedOn w:val="Normal"/>
    <w:uiPriority w:val="34"/>
    <w:qFormat/>
    <w:rsid w:val="001A7412"/>
    <w:pPr>
      <w:spacing w:after="160" w:line="259" w:lineRule="auto"/>
      <w:ind w:left="720"/>
      <w:contextualSpacing/>
    </w:pPr>
    <w:rPr>
      <w:sz w:val="22"/>
      <w:szCs w:val="22"/>
      <w:lang w:val="en-GB"/>
    </w:rPr>
  </w:style>
  <w:style w:type="paragraph" w:styleId="Date">
    <w:name w:val="Date"/>
    <w:basedOn w:val="Normal"/>
    <w:next w:val="Normal"/>
    <w:link w:val="DateChar"/>
    <w:uiPriority w:val="99"/>
    <w:semiHidden/>
    <w:unhideWhenUsed/>
    <w:rsid w:val="00DE4E41"/>
  </w:style>
  <w:style w:type="character" w:customStyle="1" w:styleId="DateChar">
    <w:name w:val="Date Char"/>
    <w:basedOn w:val="DefaultParagraphFont"/>
    <w:link w:val="Date"/>
    <w:uiPriority w:val="99"/>
    <w:semiHidden/>
    <w:rsid w:val="00DE4E41"/>
  </w:style>
  <w:style w:type="character" w:styleId="FootnoteReference">
    <w:name w:val="footnote reference"/>
    <w:basedOn w:val="DefaultParagraphFont"/>
    <w:uiPriority w:val="99"/>
    <w:semiHidden/>
    <w:unhideWhenUsed/>
    <w:rsid w:val="00D942F2"/>
    <w:rPr>
      <w:vertAlign w:val="superscript"/>
    </w:rPr>
  </w:style>
  <w:style w:type="paragraph" w:styleId="FootnoteText">
    <w:name w:val="footnote text"/>
    <w:basedOn w:val="Normal"/>
    <w:link w:val="FootnoteTextChar"/>
    <w:uiPriority w:val="99"/>
    <w:semiHidden/>
    <w:unhideWhenUsed/>
    <w:rsid w:val="003D1305"/>
    <w:rPr>
      <w:sz w:val="20"/>
      <w:szCs w:val="20"/>
    </w:rPr>
  </w:style>
  <w:style w:type="character" w:customStyle="1" w:styleId="FootnoteTextChar">
    <w:name w:val="Footnote Text Char"/>
    <w:basedOn w:val="DefaultParagraphFont"/>
    <w:link w:val="FootnoteText"/>
    <w:uiPriority w:val="99"/>
    <w:semiHidden/>
    <w:rsid w:val="003D1305"/>
    <w:rPr>
      <w:sz w:val="20"/>
      <w:szCs w:val="20"/>
    </w:rPr>
  </w:style>
  <w:style w:type="character" w:styleId="Strong">
    <w:name w:val="Strong"/>
    <w:basedOn w:val="DefaultParagraphFont"/>
    <w:uiPriority w:val="22"/>
    <w:qFormat/>
    <w:rsid w:val="001E5134"/>
    <w:rPr>
      <w:b/>
      <w:bCs/>
    </w:rPr>
  </w:style>
  <w:style w:type="paragraph" w:styleId="NoSpacing">
    <w:name w:val="No Spacing"/>
    <w:uiPriority w:val="1"/>
    <w:qFormat/>
    <w:rsid w:val="002B203C"/>
    <w:rPr>
      <w:kern w:val="2"/>
      <w:sz w:val="22"/>
      <w:szCs w:val="22"/>
      <w:lang w:val="en-AE"/>
      <w14:ligatures w14:val="standardContextual"/>
    </w:rPr>
  </w:style>
  <w:style w:type="paragraph" w:customStyle="1" w:styleId="Default">
    <w:name w:val="Default"/>
    <w:rsid w:val="00371972"/>
    <w:pPr>
      <w:autoSpaceDE w:val="0"/>
      <w:autoSpaceDN w:val="0"/>
      <w:adjustRightInd w:val="0"/>
    </w:pPr>
    <w:rPr>
      <w:rFonts w:ascii="Arial" w:hAnsi="Arial" w:cs="Arial"/>
      <w:color w:val="000000"/>
      <w14:ligatures w14:val="standardContextual"/>
    </w:rPr>
  </w:style>
  <w:style w:type="table" w:styleId="TableGrid">
    <w:name w:val="Table Grid"/>
    <w:basedOn w:val="TableNormal"/>
    <w:uiPriority w:val="39"/>
    <w:rsid w:val="00371972"/>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0E89"/>
    <w:pPr>
      <w:spacing w:before="100" w:beforeAutospacing="1" w:after="100" w:afterAutospacing="1"/>
    </w:pPr>
    <w:rPr>
      <w:rFonts w:ascii="Times New Roman" w:eastAsia="Times New Roman" w:hAnsi="Times New Roman" w:cs="Times New Roman"/>
      <w:lang/>
    </w:rPr>
  </w:style>
  <w:style w:type="character" w:customStyle="1" w:styleId="ui-provider">
    <w:name w:val="ui-provider"/>
    <w:basedOn w:val="DefaultParagraphFont"/>
    <w:rsid w:val="00C078DB"/>
  </w:style>
  <w:style w:type="paragraph" w:styleId="Revision">
    <w:name w:val="Revision"/>
    <w:hidden/>
    <w:uiPriority w:val="99"/>
    <w:semiHidden/>
    <w:rsid w:val="00466DD1"/>
  </w:style>
  <w:style w:type="character" w:styleId="CommentReference">
    <w:name w:val="annotation reference"/>
    <w:basedOn w:val="DefaultParagraphFont"/>
    <w:uiPriority w:val="99"/>
    <w:semiHidden/>
    <w:unhideWhenUsed/>
    <w:rsid w:val="00466DD1"/>
    <w:rPr>
      <w:sz w:val="16"/>
      <w:szCs w:val="16"/>
    </w:rPr>
  </w:style>
  <w:style w:type="paragraph" w:styleId="CommentText">
    <w:name w:val="annotation text"/>
    <w:basedOn w:val="Normal"/>
    <w:link w:val="CommentTextChar"/>
    <w:uiPriority w:val="99"/>
    <w:unhideWhenUsed/>
    <w:rsid w:val="00466DD1"/>
    <w:rPr>
      <w:sz w:val="20"/>
      <w:szCs w:val="20"/>
    </w:rPr>
  </w:style>
  <w:style w:type="character" w:customStyle="1" w:styleId="CommentTextChar">
    <w:name w:val="Comment Text Char"/>
    <w:basedOn w:val="DefaultParagraphFont"/>
    <w:link w:val="CommentText"/>
    <w:uiPriority w:val="99"/>
    <w:rsid w:val="00466DD1"/>
    <w:rPr>
      <w:sz w:val="20"/>
      <w:szCs w:val="20"/>
    </w:rPr>
  </w:style>
  <w:style w:type="paragraph" w:styleId="CommentSubject">
    <w:name w:val="annotation subject"/>
    <w:basedOn w:val="CommentText"/>
    <w:next w:val="CommentText"/>
    <w:link w:val="CommentSubjectChar"/>
    <w:uiPriority w:val="99"/>
    <w:semiHidden/>
    <w:unhideWhenUsed/>
    <w:rsid w:val="00466DD1"/>
    <w:rPr>
      <w:b/>
      <w:bCs/>
    </w:rPr>
  </w:style>
  <w:style w:type="character" w:customStyle="1" w:styleId="CommentSubjectChar">
    <w:name w:val="Comment Subject Char"/>
    <w:basedOn w:val="CommentTextChar"/>
    <w:link w:val="CommentSubject"/>
    <w:uiPriority w:val="99"/>
    <w:semiHidden/>
    <w:rsid w:val="00466D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818199">
      <w:bodyDiv w:val="1"/>
      <w:marLeft w:val="0"/>
      <w:marRight w:val="0"/>
      <w:marTop w:val="0"/>
      <w:marBottom w:val="0"/>
      <w:divBdr>
        <w:top w:val="none" w:sz="0" w:space="0" w:color="auto"/>
        <w:left w:val="none" w:sz="0" w:space="0" w:color="auto"/>
        <w:bottom w:val="none" w:sz="0" w:space="0" w:color="auto"/>
        <w:right w:val="none" w:sz="0" w:space="0" w:color="auto"/>
      </w:divBdr>
    </w:div>
    <w:div w:id="749931227">
      <w:bodyDiv w:val="1"/>
      <w:marLeft w:val="0"/>
      <w:marRight w:val="0"/>
      <w:marTop w:val="0"/>
      <w:marBottom w:val="0"/>
      <w:divBdr>
        <w:top w:val="none" w:sz="0" w:space="0" w:color="auto"/>
        <w:left w:val="none" w:sz="0" w:space="0" w:color="auto"/>
        <w:bottom w:val="none" w:sz="0" w:space="0" w:color="auto"/>
        <w:right w:val="none" w:sz="0" w:space="0" w:color="auto"/>
      </w:divBdr>
    </w:div>
    <w:div w:id="1214079263">
      <w:bodyDiv w:val="1"/>
      <w:marLeft w:val="0"/>
      <w:marRight w:val="0"/>
      <w:marTop w:val="0"/>
      <w:marBottom w:val="0"/>
      <w:divBdr>
        <w:top w:val="none" w:sz="0" w:space="0" w:color="auto"/>
        <w:left w:val="none" w:sz="0" w:space="0" w:color="auto"/>
        <w:bottom w:val="none" w:sz="0" w:space="0" w:color="auto"/>
        <w:right w:val="none" w:sz="0" w:space="0" w:color="auto"/>
      </w:divBdr>
    </w:div>
    <w:div w:id="1565019129">
      <w:bodyDiv w:val="1"/>
      <w:marLeft w:val="0"/>
      <w:marRight w:val="0"/>
      <w:marTop w:val="0"/>
      <w:marBottom w:val="0"/>
      <w:divBdr>
        <w:top w:val="none" w:sz="0" w:space="0" w:color="auto"/>
        <w:left w:val="none" w:sz="0" w:space="0" w:color="auto"/>
        <w:bottom w:val="none" w:sz="0" w:space="0" w:color="auto"/>
        <w:right w:val="none" w:sz="0" w:space="0" w:color="auto"/>
      </w:divBdr>
    </w:div>
    <w:div w:id="17647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5A7C9F4E2864BA44FAF7162D093D8" ma:contentTypeVersion="22" ma:contentTypeDescription="Create a new document." ma:contentTypeScope="" ma:versionID="0db29dfa820e12348dcc498fdcb43a9b">
  <xsd:schema xmlns:xsd="http://www.w3.org/2001/XMLSchema" xmlns:xs="http://www.w3.org/2001/XMLSchema" xmlns:p="http://schemas.microsoft.com/office/2006/metadata/properties" xmlns:ns2="d17d7345-026d-42e9-9c57-2ece1f126805" xmlns:ns3="5d69e730-5918-4cf9-aa17-7bb5e550f5d9" targetNamespace="http://schemas.microsoft.com/office/2006/metadata/properties" ma:root="true" ma:fieldsID="3f8b912e7715ad903a368535826e3a80" ns2:_="" ns3:_="">
    <xsd:import namespace="d17d7345-026d-42e9-9c57-2ece1f126805"/>
    <xsd:import namespace="5d69e730-5918-4cf9-aa17-7bb5e550f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d7345-026d-42e9-9c57-2ece1f126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80df85e-2642-4c9a-bbfd-c0a2bcc2e4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9e730-5918-4cf9-aa17-7bb5e550f5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3782b9-abea-4b0d-805b-99d94db4da91}" ma:internalName="TaxCatchAll" ma:showField="CatchAllData" ma:web="5d69e730-5918-4cf9-aa17-7bb5e550f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d69e730-5918-4cf9-aa17-7bb5e550f5d9">
      <UserInfo>
        <DisplayName>Surya Foollee</DisplayName>
        <AccountId>13</AccountId>
        <AccountType/>
      </UserInfo>
      <UserInfo>
        <DisplayName>Bryan Obeegadoo</DisplayName>
        <AccountId>385</AccountId>
        <AccountType/>
      </UserInfo>
      <UserInfo>
        <DisplayName>Sandrine Lauratet</DisplayName>
        <AccountId>15</AccountId>
        <AccountType/>
      </UserInfo>
    </SharedWithUsers>
    <lcf76f155ced4ddcb4097134ff3c332f xmlns="d17d7345-026d-42e9-9c57-2ece1f126805">
      <Terms xmlns="http://schemas.microsoft.com/office/infopath/2007/PartnerControls"/>
    </lcf76f155ced4ddcb4097134ff3c332f>
    <TaxCatchAll xmlns="5d69e730-5918-4cf9-aa17-7bb5e550f5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83839-95EC-4BE9-A7B1-3C86ED90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d7345-026d-42e9-9c57-2ece1f126805"/>
    <ds:schemaRef ds:uri="5d69e730-5918-4cf9-aa17-7bb5e550f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C8FE7-0CE1-40CB-9387-CBB08A365027}">
  <ds:schemaRefs>
    <ds:schemaRef ds:uri="http://schemas.microsoft.com/office/2006/metadata/properties"/>
    <ds:schemaRef ds:uri="http://schemas.microsoft.com/office/infopath/2007/PartnerControls"/>
    <ds:schemaRef ds:uri="5d69e730-5918-4cf9-aa17-7bb5e550f5d9"/>
    <ds:schemaRef ds:uri="d17d7345-026d-42e9-9c57-2ece1f126805"/>
  </ds:schemaRefs>
</ds:datastoreItem>
</file>

<file path=customXml/itemProps3.xml><?xml version="1.0" encoding="utf-8"?>
<ds:datastoreItem xmlns:ds="http://schemas.openxmlformats.org/officeDocument/2006/customXml" ds:itemID="{FA43E7B3-F210-42A3-93FB-0E44F3978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 Cread</dc:creator>
  <cp:keywords/>
  <dc:description/>
  <cp:lastModifiedBy>Surya Foollee</cp:lastModifiedBy>
  <cp:revision>2</cp:revision>
  <cp:lastPrinted>2023-06-21T09:11:00Z</cp:lastPrinted>
  <dcterms:created xsi:type="dcterms:W3CDTF">2024-06-24T10:32:00Z</dcterms:created>
  <dcterms:modified xsi:type="dcterms:W3CDTF">2024-06-24T10:32:00Z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0x0101007D95A7C9F4E2864BA44FAF7162D093D8</vt:lpwstr>
  </property>
  <property fmtid="{D5CDD505-2E9C-101B-9397-08002B2CF9AE}" pid="3" name="MediaServiceImageTags">
    <vt:lpwstr/>
  </property>
</Properties>
</file>